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4B16" w14:textId="77777777" w:rsidR="00000000" w:rsidRDefault="002A5A30">
      <w:pPr>
        <w:pStyle w:val="Title"/>
        <w:rPr>
          <w:lang w:val="pl-PL"/>
        </w:rPr>
      </w:pPr>
      <w:bookmarkStart w:id="0" w:name="_GoBack"/>
      <w:bookmarkEnd w:id="0"/>
      <w:r>
        <w:rPr>
          <w:lang w:val="pl-PL"/>
        </w:rPr>
        <w:t>Uwagi do projektu nowelizacji ustawy o informatyzacji</w:t>
      </w:r>
    </w:p>
    <w:p w14:paraId="5B75711E" w14:textId="77777777" w:rsidR="00000000" w:rsidRDefault="002A5A30">
      <w:pPr>
        <w:pStyle w:val="Subtitle"/>
        <w:rPr>
          <w:lang w:val="pl-PL"/>
        </w:rPr>
      </w:pPr>
    </w:p>
    <w:p w14:paraId="43817BD7" w14:textId="77777777" w:rsidR="00000000" w:rsidRDefault="002A5A30">
      <w:pPr>
        <w:pStyle w:val="BodyText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PROJEKT</w:t>
      </w:r>
    </w:p>
    <w:p w14:paraId="5978CF2E" w14:textId="77777777" w:rsidR="00000000" w:rsidRDefault="002A5A30">
      <w:pPr>
        <w:pStyle w:val="Subtitle"/>
        <w:rPr>
          <w:lang w:val="pl-PL"/>
        </w:rPr>
      </w:pPr>
      <w:r>
        <w:rPr>
          <w:lang w:val="pl-PL"/>
        </w:rPr>
        <w:t>Internet Society Poland (ISOC-PL)</w:t>
      </w:r>
    </w:p>
    <w:p w14:paraId="0AB0FD04" w14:textId="77777777" w:rsidR="00000000" w:rsidRDefault="002A5A30">
      <w:pPr>
        <w:pStyle w:val="BodyText"/>
        <w:rPr>
          <w:lang w:val="pl-PL"/>
        </w:rPr>
      </w:pPr>
    </w:p>
    <w:p w14:paraId="42E74C1C" w14:textId="77777777" w:rsidR="00000000" w:rsidRDefault="002A5A30">
      <w:pPr>
        <w:pStyle w:val="BodyText"/>
        <w:jc w:val="right"/>
        <w:rPr>
          <w:lang w:val="pl-PL"/>
        </w:rPr>
      </w:pPr>
      <w:r>
        <w:rPr>
          <w:lang w:val="pl-PL"/>
        </w:rPr>
        <w:t>25 lipca 2009</w:t>
      </w:r>
    </w:p>
    <w:p w14:paraId="3E5F96DA" w14:textId="77777777" w:rsidR="00000000" w:rsidRDefault="002A5A30">
      <w:pPr>
        <w:pStyle w:val="Heading1"/>
        <w:rPr>
          <w:lang w:val="pl-PL"/>
        </w:rPr>
      </w:pPr>
      <w:r>
        <w:rPr>
          <w:lang w:val="pl-PL"/>
        </w:rPr>
        <w:t>Zgłaszający</w:t>
      </w:r>
    </w:p>
    <w:p w14:paraId="742B0A60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>ISOC Polska</w:t>
      </w:r>
    </w:p>
    <w:p w14:paraId="3239F545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>ul. Pasteura 7</w:t>
      </w:r>
    </w:p>
    <w:p w14:paraId="74831D39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>02-093 Warszawa</w:t>
      </w:r>
    </w:p>
    <w:p w14:paraId="650506A5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>tel/fax: +48 22 621 30 17</w:t>
      </w:r>
    </w:p>
    <w:p w14:paraId="0CDCDA5C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 xml:space="preserve">email: </w:t>
      </w:r>
      <w:hyperlink r:id="rId8" w:history="1">
        <w:r>
          <w:rPr>
            <w:rStyle w:val="Hyperlink"/>
          </w:rPr>
          <w:t>zarzad@isoc.org</w:t>
        </w:r>
        <w:r>
          <w:rPr>
            <w:rStyle w:val="Hyperlink"/>
          </w:rPr>
          <w:t>.pl</w:t>
        </w:r>
      </w:hyperlink>
    </w:p>
    <w:p w14:paraId="0FB1BCEA" w14:textId="77777777" w:rsidR="00000000" w:rsidRDefault="002A5A30">
      <w:pPr>
        <w:pStyle w:val="Heading1"/>
        <w:rPr>
          <w:lang w:val="pl-PL"/>
        </w:rPr>
      </w:pPr>
      <w:r>
        <w:rPr>
          <w:lang w:val="pl-PL"/>
        </w:rPr>
        <w:t>Dokument źródłowy</w:t>
      </w:r>
    </w:p>
    <w:p w14:paraId="30A9070B" w14:textId="77777777" w:rsidR="00000000" w:rsidRDefault="002A5A30">
      <w:pPr>
        <w:pStyle w:val="BodyText"/>
        <w:rPr>
          <w:lang w:val="pl-PL"/>
        </w:rPr>
      </w:pPr>
      <w:r>
        <w:rPr>
          <w:lang w:val="pl-PL"/>
        </w:rPr>
        <w:t>Uwagi zostały oparte o następujący dokument:</w:t>
      </w:r>
    </w:p>
    <w:p w14:paraId="5F800703" w14:textId="77777777" w:rsidR="00000000" w:rsidRDefault="002A5A30">
      <w:pPr>
        <w:pStyle w:val="ListContents"/>
        <w:spacing w:after="283"/>
        <w:ind w:left="709"/>
        <w:rPr>
          <w:lang w:val="pl-PL"/>
        </w:rPr>
      </w:pPr>
      <w:r>
        <w:rPr>
          <w:lang w:val="pl-PL"/>
        </w:rPr>
        <w:t>Druk sejmowy nr 2110</w:t>
      </w:r>
      <w:r>
        <w:rPr>
          <w:lang w:val="pl-PL"/>
        </w:rPr>
        <w:br/>
        <w:t>2009-06-17</w:t>
      </w:r>
      <w:r>
        <w:rPr>
          <w:lang w:val="pl-PL"/>
        </w:rPr>
        <w:br/>
      </w:r>
      <w:r>
        <w:rPr>
          <w:i/>
          <w:iCs/>
          <w:lang w:val="pl-PL"/>
        </w:rPr>
        <w:t>Rządowy projekt ustawy o zmianie ustawy o informatyzacji działalności podmiotów realizujących zadania publiczne, ustawy - Kodeks postępowania administracyjn</w:t>
      </w:r>
      <w:r>
        <w:rPr>
          <w:i/>
          <w:iCs/>
          <w:lang w:val="pl-PL"/>
        </w:rPr>
        <w:t>ego, ustawy - Ordynacja podatkowa oraz niektórych innych ustaw.</w:t>
      </w:r>
      <w:r>
        <w:rPr>
          <w:lang w:val="pl-PL"/>
        </w:rPr>
        <w:br/>
      </w:r>
      <w:hyperlink r:id="rId9" w:history="1">
        <w:r>
          <w:rPr>
            <w:rStyle w:val="Hyperlink"/>
          </w:rPr>
          <w:t>http://orka.sejm.gov.pl/Druki6ka.nsf/wgdruku/2110</w:t>
        </w:r>
      </w:hyperlink>
      <w:r>
        <w:rPr>
          <w:lang w:val="pl-PL"/>
        </w:rPr>
        <w:t xml:space="preserve"> </w:t>
      </w:r>
    </w:p>
    <w:p w14:paraId="4D99EC02" w14:textId="77777777" w:rsidR="00000000" w:rsidRDefault="002A5A30">
      <w:pPr>
        <w:pStyle w:val="Heading1"/>
        <w:rPr>
          <w:lang w:val="pl-PL"/>
        </w:rPr>
      </w:pPr>
      <w:r>
        <w:rPr>
          <w:lang w:val="pl-PL"/>
        </w:rPr>
        <w:t>Uwagi do poszczególnych punktów</w:t>
      </w:r>
    </w:p>
    <w:p w14:paraId="24FFF47A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3 pkt 9 - </w:t>
      </w:r>
      <w:r>
        <w:rPr>
          <w:i/>
          <w:shd w:val="clear" w:color="auto" w:fill="FFFF00"/>
          <w:lang w:val="pl-PL"/>
        </w:rPr>
        <w:t>"minimalne wymagania dla sys</w:t>
      </w:r>
      <w:r>
        <w:rPr>
          <w:i/>
          <w:shd w:val="clear" w:color="auto" w:fill="FFFF00"/>
          <w:lang w:val="pl-PL"/>
        </w:rPr>
        <w:t>temów teleinformatycznych (...) umożliwia</w:t>
      </w:r>
      <w:r>
        <w:rPr>
          <w:i/>
          <w:shd w:val="clear" w:color="auto" w:fill="FFFF00"/>
          <w:lang w:val="pl-PL"/>
        </w:rPr>
        <w:br/>
        <w:t>wymianę danych z innymi systemami teleinformatycznymi używanymi do realizacji zadań publicznych (...) zapewnia dostęp do zasobów informacji udostępnianych za pomocą tych systemów także osobom niepełnosprawnym"</w:t>
      </w:r>
      <w:r>
        <w:rPr>
          <w:shd w:val="clear" w:color="auto" w:fill="FFFF00"/>
          <w:lang w:val="pl-PL"/>
        </w:rPr>
        <w:t xml:space="preserve"> </w:t>
      </w:r>
    </w:p>
    <w:p w14:paraId="0A52A771" w14:textId="77777777" w:rsidR="00000000" w:rsidRDefault="002A5A30">
      <w:pPr>
        <w:pStyle w:val="ListContents"/>
        <w:numPr>
          <w:ilvl w:val="0"/>
          <w:numId w:val="2"/>
        </w:numPr>
        <w:tabs>
          <w:tab w:val="left" w:pos="707"/>
        </w:tabs>
        <w:rPr>
          <w:lang w:val="pl-PL"/>
        </w:rPr>
      </w:pPr>
      <w:r>
        <w:rPr>
          <w:lang w:val="pl-PL"/>
        </w:rPr>
        <w:t>Zgo</w:t>
      </w:r>
      <w:r>
        <w:rPr>
          <w:lang w:val="pl-PL"/>
        </w:rPr>
        <w:t xml:space="preserve">dnie z tą definicją odczytaną dosłownie minimalne wymagania służą wyłącznie zapewnieniu wymiany danych </w:t>
      </w:r>
      <w:r>
        <w:rPr>
          <w:b/>
          <w:bCs/>
          <w:lang w:val="pl-PL"/>
        </w:rPr>
        <w:t>z innymi systemami</w:t>
      </w:r>
      <w:r>
        <w:rPr>
          <w:lang w:val="pl-PL"/>
        </w:rPr>
        <w:t xml:space="preserve"> i </w:t>
      </w:r>
      <w:r>
        <w:rPr>
          <w:b/>
          <w:bCs/>
          <w:lang w:val="pl-PL"/>
        </w:rPr>
        <w:t>z osobami niepełnosprawnymi</w:t>
      </w:r>
      <w:r>
        <w:rPr>
          <w:lang w:val="pl-PL"/>
        </w:rPr>
        <w:t xml:space="preserve">. A co z osobami </w:t>
      </w:r>
      <w:r>
        <w:rPr>
          <w:b/>
          <w:bCs/>
          <w:lang w:val="pl-PL"/>
        </w:rPr>
        <w:t>pełnosprawnymi</w:t>
      </w:r>
      <w:r>
        <w:rPr>
          <w:lang w:val="pl-PL"/>
        </w:rPr>
        <w:t xml:space="preserve">? Proponujemy po </w:t>
      </w:r>
      <w:r>
        <w:rPr>
          <w:i/>
          <w:iCs/>
          <w:lang w:val="pl-PL"/>
        </w:rPr>
        <w:t>„wymianę danych z innymi systemami”</w:t>
      </w:r>
      <w:r>
        <w:rPr>
          <w:lang w:val="pl-PL"/>
        </w:rPr>
        <w:t xml:space="preserve"> napisać </w:t>
      </w:r>
      <w:r>
        <w:rPr>
          <w:i/>
          <w:iCs/>
          <w:lang w:val="pl-PL"/>
        </w:rPr>
        <w:t>„zapewnia dos</w:t>
      </w:r>
      <w:r>
        <w:rPr>
          <w:i/>
          <w:iCs/>
          <w:lang w:val="pl-PL"/>
        </w:rPr>
        <w:t xml:space="preserve">tęp do zasobów osobom, z uwzględnieniem potrzeb osób niepełnosprawnych” </w:t>
      </w:r>
      <w:r>
        <w:rPr>
          <w:lang w:val="pl-PL"/>
        </w:rPr>
        <w:t>lub pozostawić tylko „osoby”</w:t>
      </w:r>
      <w:r>
        <w:rPr>
          <w:lang w:val="pl-PL"/>
        </w:rPr>
        <w:t>. Konkretne odwołania do standardów Web Accessibility powinny się znajdować dopiero w rozporządzeniu o minimalnych wymaganiach lub Krajowych Ramach Interope</w:t>
      </w:r>
      <w:r>
        <w:rPr>
          <w:lang w:val="pl-PL"/>
        </w:rPr>
        <w:t>racyjności.</w:t>
      </w:r>
    </w:p>
    <w:p w14:paraId="1FEE5998" w14:textId="77777777" w:rsidR="00000000" w:rsidRDefault="002A5A30">
      <w:pPr>
        <w:pStyle w:val="ListContents"/>
        <w:numPr>
          <w:ilvl w:val="0"/>
          <w:numId w:val="2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Dotychczasowe rozporządzenie o minimalnych wymaganiach nie spełnia swojego celu ze </w:t>
      </w:r>
      <w:r>
        <w:rPr>
          <w:lang w:val="pl-PL"/>
        </w:rPr>
        <w:lastRenderedPageBreak/>
        <w:t>względu na złe zdefiniowanie problemu. Dla użytkowników nie jest problemem publikacja dokumentu przez urząd w – przykładowo –  starszym formacie PDF 1.3 (niezgod</w:t>
      </w:r>
      <w:r>
        <w:rPr>
          <w:lang w:val="pl-PL"/>
        </w:rPr>
        <w:t xml:space="preserve">ny z "minimalnymi wymaganiami") zamiast nowszego PDF 1.4 (zgodny), ponieważ starszy format jest wstecznie kompatybilny z nowszym. </w:t>
      </w:r>
    </w:p>
    <w:p w14:paraId="15EFD0E5" w14:textId="77777777" w:rsidR="00000000" w:rsidRDefault="002A5A30">
      <w:pPr>
        <w:pStyle w:val="ListContents"/>
        <w:numPr>
          <w:ilvl w:val="1"/>
          <w:numId w:val="2"/>
        </w:numPr>
        <w:tabs>
          <w:tab w:val="left" w:pos="1414"/>
        </w:tabs>
        <w:rPr>
          <w:lang w:val="pl-PL"/>
        </w:rPr>
      </w:pPr>
      <w:r>
        <w:rPr>
          <w:lang w:val="pl-PL"/>
        </w:rPr>
        <w:t xml:space="preserve">Problemem jest użycie </w:t>
      </w:r>
      <w:r>
        <w:rPr>
          <w:b/>
          <w:lang w:val="pl-PL"/>
        </w:rPr>
        <w:t>zbyt nowych</w:t>
      </w:r>
      <w:r>
        <w:rPr>
          <w:lang w:val="pl-PL"/>
        </w:rPr>
        <w:t xml:space="preserve"> formatów oraz niestandardowych profili lub </w:t>
      </w:r>
      <w:r>
        <w:rPr>
          <w:b/>
          <w:bCs/>
          <w:lang w:val="pl-PL"/>
        </w:rPr>
        <w:t>prywatnych rozszerzeń</w:t>
      </w:r>
      <w:r>
        <w:rPr>
          <w:lang w:val="pl-PL"/>
        </w:rPr>
        <w:t xml:space="preserve"> do formatów ustandardyzowa</w:t>
      </w:r>
      <w:r>
        <w:rPr>
          <w:lang w:val="pl-PL"/>
        </w:rPr>
        <w:t xml:space="preserve">nych. </w:t>
      </w:r>
      <w:r>
        <w:rPr>
          <w:rStyle w:val="FootnoteReference"/>
          <w:lang w:val="pl-PL"/>
        </w:rPr>
        <w:footnoteReference w:id="1"/>
      </w:r>
    </w:p>
    <w:p w14:paraId="2C2DAF45" w14:textId="77777777" w:rsidR="00000000" w:rsidRDefault="002A5A30">
      <w:pPr>
        <w:pStyle w:val="ListContents"/>
        <w:numPr>
          <w:ilvl w:val="1"/>
          <w:numId w:val="2"/>
        </w:numPr>
        <w:tabs>
          <w:tab w:val="left" w:pos="1414"/>
        </w:tabs>
        <w:rPr>
          <w:lang w:val="pl-PL"/>
        </w:rPr>
      </w:pPr>
      <w:r>
        <w:rPr>
          <w:lang w:val="pl-PL"/>
        </w:rPr>
        <w:t xml:space="preserve">Problemem jest niekompatybilność formatów </w:t>
      </w:r>
      <w:r>
        <w:rPr>
          <w:b/>
          <w:bCs/>
          <w:lang w:val="pl-PL"/>
        </w:rPr>
        <w:t>publikowanych</w:t>
      </w:r>
      <w:r>
        <w:rPr>
          <w:lang w:val="pl-PL"/>
        </w:rPr>
        <w:t xml:space="preserve"> i </w:t>
      </w:r>
      <w:r>
        <w:rPr>
          <w:b/>
          <w:bCs/>
          <w:lang w:val="pl-PL"/>
        </w:rPr>
        <w:t>przyjmowanych</w:t>
      </w:r>
      <w:r>
        <w:rPr>
          <w:lang w:val="pl-PL"/>
        </w:rPr>
        <w:t xml:space="preserve"> przez </w:t>
      </w:r>
      <w:r>
        <w:rPr>
          <w:b/>
          <w:bCs/>
          <w:lang w:val="pl-PL"/>
        </w:rPr>
        <w:t>różne</w:t>
      </w:r>
      <w:r>
        <w:rPr>
          <w:lang w:val="pl-PL"/>
        </w:rPr>
        <w:t xml:space="preserve"> urzędy, zwłaszcza w sytuacji gdy na rynku pojawiło się kilkanaście   niestandardowych formatów związanych z bezpiecznym podpisem elektronicznym</w:t>
      </w:r>
      <w:r>
        <w:rPr>
          <w:rStyle w:val="FootnoteReference"/>
          <w:lang w:val="pl-PL"/>
        </w:rPr>
        <w:footnoteReference w:id="2"/>
      </w:r>
      <w:r>
        <w:rPr>
          <w:lang w:val="pl-PL"/>
        </w:rPr>
        <w:t>.</w:t>
      </w:r>
    </w:p>
    <w:p w14:paraId="6FA9A7E1" w14:textId="77777777" w:rsidR="00000000" w:rsidRDefault="002A5A30">
      <w:pPr>
        <w:pStyle w:val="ListContents"/>
        <w:numPr>
          <w:ilvl w:val="0"/>
          <w:numId w:val="2"/>
        </w:numPr>
        <w:tabs>
          <w:tab w:val="left" w:pos="707"/>
        </w:tabs>
        <w:rPr>
          <w:lang w:val="pl-PL"/>
        </w:rPr>
      </w:pPr>
      <w:r>
        <w:rPr>
          <w:lang w:val="pl-PL"/>
        </w:rPr>
        <w:t>Nowe rozporządzeni</w:t>
      </w:r>
      <w:r>
        <w:rPr>
          <w:lang w:val="pl-PL"/>
        </w:rPr>
        <w:t xml:space="preserve">e powinno zakreślać  </w:t>
      </w:r>
      <w:r>
        <w:rPr>
          <w:b/>
          <w:bCs/>
          <w:lang w:val="pl-PL"/>
        </w:rPr>
        <w:t>dolną i górną granicę  wersji standardów</w:t>
      </w:r>
      <w:r>
        <w:rPr>
          <w:lang w:val="pl-PL"/>
        </w:rPr>
        <w:t xml:space="preserve">, które są przyjmowane przez administrację publiczną jak i stosowane przez nią przy publikacji. </w:t>
      </w:r>
    </w:p>
    <w:p w14:paraId="5A9A5D52" w14:textId="77777777" w:rsidR="00000000" w:rsidRDefault="002A5A30">
      <w:pPr>
        <w:pStyle w:val="ListContents"/>
        <w:numPr>
          <w:ilvl w:val="0"/>
          <w:numId w:val="2"/>
        </w:numPr>
        <w:tabs>
          <w:tab w:val="left" w:pos="707"/>
        </w:tabs>
        <w:rPr>
          <w:lang w:val="pl-PL"/>
        </w:rPr>
      </w:pPr>
      <w:r>
        <w:rPr>
          <w:lang w:val="pl-PL"/>
        </w:rPr>
        <w:t>Proponujemy określenie</w:t>
      </w:r>
      <w:r>
        <w:rPr>
          <w:b/>
          <w:bCs/>
          <w:lang w:val="pl-PL"/>
        </w:rPr>
        <w:t xml:space="preserve"> listy standardów tolerowanych (C), zalecanych (B)</w:t>
      </w:r>
      <w:r>
        <w:rPr>
          <w:lang w:val="pl-PL"/>
        </w:rPr>
        <w:t xml:space="preserve"> oraz </w:t>
      </w:r>
      <w:r>
        <w:rPr>
          <w:b/>
          <w:bCs/>
          <w:lang w:val="pl-PL"/>
        </w:rPr>
        <w:t>obligatoryjnych (A).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Grupa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A</w:t>
      </w:r>
      <w:r>
        <w:rPr>
          <w:lang w:val="pl-PL"/>
        </w:rPr>
        <w:t xml:space="preserve"> będzie stanowić zamknięty, wspólny mianownik gwarantujący interoperacyjną komunikację z administracją publiczną. Grupa </w:t>
      </w:r>
      <w:r>
        <w:rPr>
          <w:b/>
          <w:bCs/>
          <w:lang w:val="pl-PL"/>
        </w:rPr>
        <w:t>C</w:t>
      </w:r>
      <w:r>
        <w:rPr>
          <w:lang w:val="pl-PL"/>
        </w:rPr>
        <w:t xml:space="preserve"> będzie zapewniać wsteczną kompatybilność, zaś grupa </w:t>
      </w:r>
      <w:r>
        <w:rPr>
          <w:b/>
          <w:bCs/>
          <w:lang w:val="pl-PL"/>
        </w:rPr>
        <w:t>B</w:t>
      </w:r>
      <w:r>
        <w:rPr>
          <w:lang w:val="pl-PL"/>
        </w:rPr>
        <w:t xml:space="preserve"> – stymulować przejście w kierunku przyszłych standardów obligatoryjnych.</w:t>
      </w:r>
    </w:p>
    <w:p w14:paraId="6EFAF2EB" w14:textId="77777777" w:rsidR="00000000" w:rsidRDefault="002A5A30">
      <w:pPr>
        <w:pStyle w:val="ListContents"/>
        <w:numPr>
          <w:ilvl w:val="0"/>
          <w:numId w:val="2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Większe ograniczenia powinny obowiązywać przy </w:t>
      </w:r>
      <w:r>
        <w:rPr>
          <w:b/>
          <w:bCs/>
          <w:lang w:val="pl-PL"/>
        </w:rPr>
        <w:t>udostępnianiu</w:t>
      </w:r>
      <w:r>
        <w:rPr>
          <w:lang w:val="pl-PL"/>
        </w:rPr>
        <w:t xml:space="preserve"> dokumentów (tylko formaty </w:t>
      </w:r>
      <w:r>
        <w:rPr>
          <w:b/>
          <w:bCs/>
          <w:lang w:val="pl-PL"/>
        </w:rPr>
        <w:t>A</w:t>
      </w:r>
      <w:r>
        <w:rPr>
          <w:lang w:val="pl-PL"/>
        </w:rPr>
        <w:t xml:space="preserve">), mniejsze przy </w:t>
      </w:r>
      <w:r>
        <w:rPr>
          <w:b/>
          <w:bCs/>
          <w:lang w:val="pl-PL"/>
        </w:rPr>
        <w:t>przyjmowaniu</w:t>
      </w:r>
      <w:r>
        <w:rPr>
          <w:lang w:val="pl-PL"/>
        </w:rPr>
        <w:t xml:space="preserve"> (</w:t>
      </w:r>
      <w:r>
        <w:rPr>
          <w:b/>
          <w:bCs/>
          <w:lang w:val="pl-PL"/>
        </w:rPr>
        <w:t>B, C</w:t>
      </w:r>
      <w:r>
        <w:rPr>
          <w:lang w:val="pl-PL"/>
        </w:rPr>
        <w:t>). Pozwoli to uniknąć obecnych problemów z obiegiem dokumentów pomiędzy obywatelem a urzędami. Niedopuszczalna jest sytuacja – obecni</w:t>
      </w:r>
      <w:r>
        <w:rPr>
          <w:lang w:val="pl-PL"/>
        </w:rPr>
        <w:t>e powszechna - w której jeden urząd wydaje obywatelowi decyzję w formie elektronicznej, której drugi urząd nie przyjmie bo akurat ma inną skrzynkę podawczą.</w:t>
      </w:r>
    </w:p>
    <w:p w14:paraId="2C46234C" w14:textId="77777777" w:rsidR="00000000" w:rsidRDefault="002A5A30">
      <w:pPr>
        <w:pStyle w:val="ListContents"/>
        <w:pBdr>
          <w:bottom w:val="double" w:sz="28" w:space="2" w:color="000000"/>
        </w:pBdr>
        <w:ind w:left="0"/>
        <w:jc w:val="center"/>
        <w:rPr>
          <w:lang w:val="pl-PL"/>
        </w:rPr>
      </w:pPr>
    </w:p>
    <w:p w14:paraId="19C4F341" w14:textId="77777777" w:rsidR="00000000" w:rsidRDefault="002A5A30">
      <w:pPr>
        <w:pStyle w:val="ListContents"/>
        <w:ind w:left="0"/>
        <w:jc w:val="center"/>
        <w:rPr>
          <w:shd w:val="clear" w:color="auto" w:fill="FFFF00"/>
          <w:lang w:val="pl-PL"/>
        </w:rPr>
      </w:pPr>
    </w:p>
    <w:p w14:paraId="33B4B385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3 pkt 14 - </w:t>
      </w:r>
      <w:r>
        <w:rPr>
          <w:i/>
          <w:shd w:val="clear" w:color="auto" w:fill="FFFF00"/>
          <w:lang w:val="pl-PL"/>
        </w:rPr>
        <w:t xml:space="preserve">"profil zaufany ePUAP – zestaw informacji identyfikujących i opisujących podmiot </w:t>
      </w:r>
      <w:r>
        <w:rPr>
          <w:i/>
          <w:shd w:val="clear" w:color="auto" w:fill="FFFF00"/>
          <w:lang w:val="pl-PL"/>
        </w:rPr>
        <w:t>lub osobę, będącą dysponentem konta na ePUAP, który został w wiarygodny sposób potwierdzony przez organ podmiotu określonego"</w:t>
      </w:r>
      <w:r>
        <w:rPr>
          <w:shd w:val="clear" w:color="auto" w:fill="FFFF00"/>
          <w:lang w:val="pl-PL"/>
        </w:rPr>
        <w:t xml:space="preserve"> </w:t>
      </w:r>
    </w:p>
    <w:p w14:paraId="3657C3EB" w14:textId="77777777" w:rsidR="00000000" w:rsidRDefault="002A5A30">
      <w:pPr>
        <w:pStyle w:val="ListContents"/>
        <w:numPr>
          <w:ilvl w:val="0"/>
          <w:numId w:val="3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Proponujemy wykorzystanie jednego z dostępnych produkcyjnie i ustandardyzowanych </w:t>
      </w:r>
      <w:r>
        <w:rPr>
          <w:b/>
          <w:bCs/>
          <w:lang w:val="pl-PL"/>
        </w:rPr>
        <w:t>protokołów federacji tożsamości i pojedynczego l</w:t>
      </w:r>
      <w:r>
        <w:rPr>
          <w:b/>
          <w:bCs/>
          <w:lang w:val="pl-PL"/>
        </w:rPr>
        <w:t>ogowania</w:t>
      </w:r>
      <w:r>
        <w:rPr>
          <w:lang w:val="pl-PL"/>
        </w:rPr>
        <w:t xml:space="preserve"> (</w:t>
      </w:r>
      <w:r>
        <w:rPr>
          <w:i/>
          <w:iCs/>
          <w:lang w:val="pl-PL"/>
        </w:rPr>
        <w:t>single sign-on</w:t>
      </w:r>
      <w:r>
        <w:rPr>
          <w:lang w:val="pl-PL"/>
        </w:rPr>
        <w:t>), takich jak OpenID</w:t>
      </w:r>
      <w:r>
        <w:rPr>
          <w:rStyle w:val="FootnoteReference"/>
          <w:lang w:val="pl-PL"/>
        </w:rPr>
        <w:footnoteReference w:id="3"/>
      </w:r>
      <w:r>
        <w:rPr>
          <w:lang w:val="pl-PL"/>
        </w:rPr>
        <w:t>, Identity Metasystem Interoperability (Infocard)</w:t>
      </w:r>
      <w:r>
        <w:rPr>
          <w:rStyle w:val="FootnoteReference"/>
          <w:lang w:val="pl-PL"/>
        </w:rPr>
        <w:footnoteReference w:id="4"/>
      </w:r>
      <w:r>
        <w:rPr>
          <w:lang w:val="pl-PL"/>
        </w:rPr>
        <w:t xml:space="preserve"> czy SAML</w:t>
      </w:r>
      <w:r>
        <w:rPr>
          <w:rStyle w:val="FootnoteReference"/>
          <w:lang w:val="pl-PL"/>
        </w:rPr>
        <w:footnoteReference w:id="5"/>
      </w:r>
      <w:r>
        <w:rPr>
          <w:lang w:val="pl-PL"/>
        </w:rPr>
        <w:t xml:space="preserve">. </w:t>
      </w:r>
    </w:p>
    <w:p w14:paraId="6003D69A" w14:textId="77777777" w:rsidR="00000000" w:rsidRDefault="002A5A30">
      <w:pPr>
        <w:pStyle w:val="ListContents"/>
        <w:numPr>
          <w:ilvl w:val="0"/>
          <w:numId w:val="3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Zwracamy uwagę na konieczność </w:t>
      </w:r>
      <w:r>
        <w:rPr>
          <w:b/>
          <w:bCs/>
          <w:lang w:val="pl-PL"/>
        </w:rPr>
        <w:t>dostosowania poziomu bezpieczeństwa</w:t>
      </w:r>
      <w:r>
        <w:rPr>
          <w:lang w:val="pl-PL"/>
        </w:rPr>
        <w:t xml:space="preserve"> zapewnianego przez konkretny mechanizm  używany do uwierzytelnienia użytkownika </w:t>
      </w:r>
      <w:r>
        <w:rPr>
          <w:b/>
          <w:bCs/>
          <w:lang w:val="pl-PL"/>
        </w:rPr>
        <w:t>do</w:t>
      </w:r>
      <w:r>
        <w:rPr>
          <w:b/>
          <w:bCs/>
          <w:lang w:val="pl-PL"/>
        </w:rPr>
        <w:t xml:space="preserve"> wymagań poszczególnych procedur</w:t>
      </w:r>
      <w:r>
        <w:rPr>
          <w:lang w:val="pl-PL"/>
        </w:rPr>
        <w:t xml:space="preserve"> administracyjnych. Jeśli dla </w:t>
      </w:r>
      <w:r>
        <w:rPr>
          <w:b/>
          <w:bCs/>
          <w:lang w:val="pl-PL"/>
        </w:rPr>
        <w:t>wszystkich</w:t>
      </w:r>
      <w:r>
        <w:rPr>
          <w:lang w:val="pl-PL"/>
        </w:rPr>
        <w:t xml:space="preserve"> procedur zastosowany będzie </w:t>
      </w:r>
      <w:r>
        <w:rPr>
          <w:b/>
          <w:bCs/>
          <w:lang w:val="pl-PL"/>
        </w:rPr>
        <w:t>wyłącznie jeden</w:t>
      </w:r>
      <w:r>
        <w:rPr>
          <w:lang w:val="pl-PL"/>
        </w:rPr>
        <w:t xml:space="preserve"> mechanizm, to siłą rzeczy będzie to musiał być mechanizm odpowiedni dla procedur o </w:t>
      </w:r>
      <w:r>
        <w:rPr>
          <w:b/>
          <w:bCs/>
          <w:lang w:val="pl-PL"/>
        </w:rPr>
        <w:t>najwyższych</w:t>
      </w:r>
      <w:r>
        <w:rPr>
          <w:lang w:val="pl-PL"/>
        </w:rPr>
        <w:t xml:space="preserve"> wymaganiach, nawet jeśli popyt na nie jest n</w:t>
      </w:r>
      <w:r>
        <w:rPr>
          <w:lang w:val="pl-PL"/>
        </w:rPr>
        <w:t xml:space="preserve">iewielki. Dotychczasowe doświadczenia z bezpiecznym podpisem elektronicznym pokazują, że takie podejście </w:t>
      </w:r>
      <w:r>
        <w:rPr>
          <w:b/>
          <w:bCs/>
          <w:lang w:val="pl-PL"/>
        </w:rPr>
        <w:t>drastycznie ogranicza dostęp obywateli do usług nie wymagających najwyższego poziomu bezpieczeństwa</w:t>
      </w:r>
      <w:r>
        <w:rPr>
          <w:rStyle w:val="FootnoteReference"/>
          <w:b/>
          <w:bCs/>
          <w:lang w:val="pl-PL"/>
        </w:rPr>
        <w:footnoteReference w:id="6"/>
      </w:r>
      <w:r>
        <w:rPr>
          <w:b/>
          <w:bCs/>
          <w:lang w:val="pl-PL"/>
        </w:rPr>
        <w:t>.</w:t>
      </w:r>
      <w:r>
        <w:rPr>
          <w:lang w:val="pl-PL"/>
        </w:rPr>
        <w:t xml:space="preserve"> Dlatego postulujemy wprowadzenie takiej liczby </w:t>
      </w:r>
      <w:r>
        <w:rPr>
          <w:b/>
          <w:bCs/>
          <w:lang w:val="pl-PL"/>
        </w:rPr>
        <w:t>ró</w:t>
      </w:r>
      <w:r>
        <w:rPr>
          <w:b/>
          <w:bCs/>
          <w:lang w:val="pl-PL"/>
        </w:rPr>
        <w:t>żnych</w:t>
      </w:r>
      <w:r>
        <w:rPr>
          <w:lang w:val="pl-PL"/>
        </w:rPr>
        <w:t xml:space="preserve"> </w:t>
      </w:r>
      <w:r>
        <w:rPr>
          <w:lang w:val="pl-PL"/>
        </w:rPr>
        <w:lastRenderedPageBreak/>
        <w:t>mechanizmów uwierzytelnienia jaka jest potrzebna do zaspokojenia wymagań bezpieczeństwa dla różnych procedur. Doboru tych mechanizmów należy dokonać na podstawie racjonalnej analizy ryzyka.</w:t>
      </w:r>
    </w:p>
    <w:p w14:paraId="0E4CAFAF" w14:textId="77777777" w:rsidR="00000000" w:rsidRDefault="002A5A30">
      <w:pPr>
        <w:pStyle w:val="ListContents"/>
        <w:numPr>
          <w:ilvl w:val="0"/>
          <w:numId w:val="3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Niepokoi nas zaawansowanie prac nad ustawą o informatyzacji </w:t>
      </w:r>
      <w:r>
        <w:rPr>
          <w:lang w:val="pl-PL"/>
        </w:rPr>
        <w:t>z całkowitym pominięciem prac prowadzonych przez MG nad ustawą o podpisach oraz brak jakichkolwiek szczegółów na temat architektury innych rozwiązań, na które często powołuje się MSWiA. Apelujemy o możliwie jak najszybszą  zsynchronizowanie prac pomiędzy r</w:t>
      </w:r>
      <w:r>
        <w:rPr>
          <w:lang w:val="pl-PL"/>
        </w:rPr>
        <w:t>esortami, rozpoczęcie debaty publicznej oraz udostępnienie choćby ogólnych założeń następujących mechanizmów:</w:t>
      </w:r>
    </w:p>
    <w:p w14:paraId="2EFC88F8" w14:textId="77777777" w:rsidR="00000000" w:rsidRDefault="002A5A30">
      <w:pPr>
        <w:pStyle w:val="ListContents"/>
        <w:numPr>
          <w:ilvl w:val="1"/>
          <w:numId w:val="3"/>
        </w:numPr>
        <w:tabs>
          <w:tab w:val="left" w:pos="1414"/>
        </w:tabs>
        <w:rPr>
          <w:lang w:val="pl-PL"/>
        </w:rPr>
      </w:pPr>
      <w:r>
        <w:rPr>
          <w:lang w:val="pl-PL"/>
        </w:rPr>
        <w:t>koncepcja elektronicznego uwierzytelnienia i autoryzacji obywateli do różnych procedur administracyjnych;</w:t>
      </w:r>
    </w:p>
    <w:p w14:paraId="291F5502" w14:textId="77777777" w:rsidR="00000000" w:rsidRDefault="002A5A30">
      <w:pPr>
        <w:pStyle w:val="ListContents"/>
        <w:numPr>
          <w:ilvl w:val="1"/>
          <w:numId w:val="3"/>
        </w:numPr>
        <w:tabs>
          <w:tab w:val="left" w:pos="1414"/>
        </w:tabs>
        <w:rPr>
          <w:lang w:val="pl-PL"/>
        </w:rPr>
      </w:pPr>
      <w:r>
        <w:rPr>
          <w:lang w:val="pl-PL"/>
        </w:rPr>
        <w:t>koncepcja podpisu osobistego i pl.ID;</w:t>
      </w:r>
    </w:p>
    <w:p w14:paraId="320CE912" w14:textId="77777777" w:rsidR="00000000" w:rsidRDefault="002A5A30">
      <w:pPr>
        <w:pStyle w:val="ListContents"/>
        <w:numPr>
          <w:ilvl w:val="1"/>
          <w:numId w:val="3"/>
        </w:numPr>
        <w:tabs>
          <w:tab w:val="left" w:pos="1414"/>
        </w:tabs>
        <w:rPr>
          <w:lang w:val="pl-PL"/>
        </w:rPr>
      </w:pPr>
      <w:r>
        <w:rPr>
          <w:lang w:val="pl-PL"/>
        </w:rPr>
        <w:t>ko</w:t>
      </w:r>
      <w:r>
        <w:rPr>
          <w:lang w:val="pl-PL"/>
        </w:rPr>
        <w:t>ncepcja profilu zaufanego ePUAP;</w:t>
      </w:r>
    </w:p>
    <w:p w14:paraId="34562BFC" w14:textId="77777777" w:rsidR="00000000" w:rsidRDefault="002A5A30">
      <w:pPr>
        <w:pStyle w:val="ListContents"/>
        <w:numPr>
          <w:ilvl w:val="1"/>
          <w:numId w:val="3"/>
        </w:numPr>
        <w:tabs>
          <w:tab w:val="left" w:pos="1414"/>
        </w:tabs>
        <w:rPr>
          <w:lang w:val="pl-PL"/>
        </w:rPr>
      </w:pPr>
      <w:r>
        <w:rPr>
          <w:lang w:val="pl-PL"/>
        </w:rPr>
        <w:t>koncepcja weryfikacji podpisu elektronicznego w administracji publicznej;</w:t>
      </w:r>
    </w:p>
    <w:p w14:paraId="68E23138" w14:textId="77777777" w:rsidR="00000000" w:rsidRDefault="002A5A30">
      <w:pPr>
        <w:pStyle w:val="ListContents"/>
        <w:ind w:left="0"/>
        <w:rPr>
          <w:lang w:val="pl-PL"/>
        </w:rPr>
      </w:pPr>
    </w:p>
    <w:p w14:paraId="488726E8" w14:textId="77777777" w:rsidR="00000000" w:rsidRDefault="002A5A30">
      <w:pPr>
        <w:pStyle w:val="ListContents"/>
        <w:ind w:left="0"/>
        <w:rPr>
          <w:lang w:val="pl-PL"/>
        </w:rPr>
      </w:pPr>
    </w:p>
    <w:p w14:paraId="03EC6BE6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1FF41353" w14:textId="77777777" w:rsidR="00000000" w:rsidRDefault="002A5A30">
      <w:pPr>
        <w:pStyle w:val="ListHeading"/>
        <w:rPr>
          <w:i/>
          <w:iCs/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3 pkt 15) </w:t>
      </w:r>
      <w:r>
        <w:rPr>
          <w:i/>
          <w:iCs/>
          <w:shd w:val="clear" w:color="auto" w:fill="FFFF00"/>
          <w:lang w:val="pl-PL"/>
        </w:rPr>
        <w:t>„elektroniczna skrzynka podawcza – dostępny publicznie środek komunikacji elektronicznej służący do przekazywania dokumentu elektro</w:t>
      </w:r>
      <w:r>
        <w:rPr>
          <w:i/>
          <w:iCs/>
          <w:shd w:val="clear" w:color="auto" w:fill="FFFF00"/>
          <w:lang w:val="pl-PL"/>
        </w:rPr>
        <w:t>nicznego do podmiotu publicznego przy wykorzystaniu powszechnie dostępnego systemu teleinformatycznego; „</w:t>
      </w:r>
    </w:p>
    <w:p w14:paraId="7196168A" w14:textId="77777777" w:rsidR="00000000" w:rsidRDefault="002A5A30">
      <w:pPr>
        <w:pStyle w:val="ListContents"/>
        <w:ind w:left="0"/>
        <w:rPr>
          <w:i/>
          <w:iCs/>
          <w:lang w:val="pl-PL"/>
        </w:rPr>
      </w:pPr>
    </w:p>
    <w:p w14:paraId="25EB9F99" w14:textId="77777777" w:rsidR="00000000" w:rsidRDefault="002A5A30">
      <w:pPr>
        <w:pStyle w:val="ListContents"/>
        <w:numPr>
          <w:ilvl w:val="0"/>
          <w:numId w:val="4"/>
        </w:numPr>
        <w:rPr>
          <w:lang w:val="pl-PL"/>
        </w:rPr>
      </w:pPr>
      <w:r>
        <w:rPr>
          <w:lang w:val="pl-PL"/>
        </w:rPr>
        <w:t>Dla zachowania spójności języka proponujemy konsekwentne używanie pojęcia „publicznie dostępny” albo „powszechnie dostępny”, ale nie obu jako synonim</w:t>
      </w:r>
      <w:r>
        <w:rPr>
          <w:lang w:val="pl-PL"/>
        </w:rPr>
        <w:t>ów.</w:t>
      </w:r>
    </w:p>
    <w:p w14:paraId="5B5686F9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2184E8DB" w14:textId="77777777" w:rsidR="00000000" w:rsidRDefault="002A5A30">
      <w:pPr>
        <w:pStyle w:val="ListContents"/>
        <w:ind w:left="0"/>
        <w:jc w:val="center"/>
        <w:rPr>
          <w:lang w:val="pl-PL"/>
        </w:rPr>
      </w:pPr>
    </w:p>
    <w:p w14:paraId="02E5F0B4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3 pkt. 16-17, czyli definicje interoperacyjności i neutralności technologicznej. </w:t>
      </w:r>
    </w:p>
    <w:p w14:paraId="4A4FE662" w14:textId="77777777" w:rsidR="00000000" w:rsidRDefault="002A5A30">
      <w:pPr>
        <w:pStyle w:val="ListContents"/>
        <w:ind w:left="0"/>
        <w:rPr>
          <w:lang w:val="pl-PL"/>
        </w:rPr>
      </w:pPr>
    </w:p>
    <w:p w14:paraId="764611E5" w14:textId="77777777" w:rsidR="00000000" w:rsidRDefault="002A5A30">
      <w:pPr>
        <w:pStyle w:val="BodyText"/>
        <w:numPr>
          <w:ilvl w:val="0"/>
          <w:numId w:val="5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Ustawa powinna gwarantować, że system teleinformatyczny zbudowany na zamówienie podmiotów publicznych </w:t>
      </w:r>
      <w:r>
        <w:rPr>
          <w:b/>
          <w:bCs/>
          <w:lang w:val="pl-PL"/>
        </w:rPr>
        <w:t>nie będzie podlegał uzależnieniu technologicznemu</w:t>
      </w:r>
      <w:r>
        <w:rPr>
          <w:lang w:val="pl-PL"/>
        </w:rPr>
        <w:t xml:space="preserve"> - to znacz</w:t>
      </w:r>
      <w:r>
        <w:rPr>
          <w:lang w:val="pl-PL"/>
        </w:rPr>
        <w:t xml:space="preserve">y, że w razie potrzeby </w:t>
      </w:r>
      <w:r>
        <w:rPr>
          <w:b/>
          <w:bCs/>
          <w:lang w:val="pl-PL"/>
        </w:rPr>
        <w:t xml:space="preserve">możliwe będzie przejęcie utrzymania, serwisowania lub dalszego rozwoju systemu </w:t>
      </w:r>
      <w:r>
        <w:rPr>
          <w:lang w:val="pl-PL"/>
        </w:rPr>
        <w:t>przez zamawiającego lub podmioty trzecie</w:t>
      </w:r>
      <w:r>
        <w:rPr>
          <w:lang w:val="pl-PL"/>
        </w:rPr>
        <w:t xml:space="preserve"> wyłonione zgodnie z prawem zamówień publicznych</w:t>
      </w:r>
      <w:r>
        <w:rPr>
          <w:rStyle w:val="FootnoteReference"/>
          <w:lang w:val="pl-PL"/>
        </w:rPr>
        <w:footnoteReference w:id="7"/>
      </w:r>
      <w:r>
        <w:rPr>
          <w:lang w:val="pl-PL"/>
        </w:rPr>
        <w:t xml:space="preserve">. </w:t>
      </w:r>
    </w:p>
    <w:p w14:paraId="79297C4B" w14:textId="77777777" w:rsidR="00000000" w:rsidRDefault="002A5A30">
      <w:pPr>
        <w:pStyle w:val="BodyText"/>
        <w:numPr>
          <w:ilvl w:val="0"/>
          <w:numId w:val="6"/>
        </w:numPr>
        <w:tabs>
          <w:tab w:val="left" w:pos="720"/>
        </w:tabs>
        <w:rPr>
          <w:lang w:val="pl-PL"/>
        </w:rPr>
      </w:pPr>
      <w:r>
        <w:rPr>
          <w:lang w:val="pl-PL"/>
        </w:rPr>
        <w:t>Jako jeden ze środków zapobiegania uzależnieniu technologiczne</w:t>
      </w:r>
      <w:r>
        <w:rPr>
          <w:lang w:val="pl-PL"/>
        </w:rPr>
        <w:t xml:space="preserve">mu ustandardyzowane powinny zostać </w:t>
      </w:r>
      <w:r>
        <w:rPr>
          <w:b/>
          <w:bCs/>
          <w:lang w:val="pl-PL"/>
        </w:rPr>
        <w:t>minimalne wymagania wobec stanu prawnego oraz dokumentacji systemów teleinformatycznyc</w:t>
      </w:r>
      <w:r>
        <w:rPr>
          <w:lang w:val="pl-PL"/>
        </w:rPr>
        <w:t xml:space="preserve">h kupowanych lub zamawianych przez podmioty publiczne. W szczególności podmioty publiczne powinny mieć obowiązek: </w:t>
      </w:r>
    </w:p>
    <w:p w14:paraId="47923E0F" w14:textId="77777777" w:rsidR="00000000" w:rsidRDefault="002A5A30">
      <w:pPr>
        <w:pStyle w:val="BodyText"/>
        <w:numPr>
          <w:ilvl w:val="1"/>
          <w:numId w:val="7"/>
        </w:numPr>
        <w:tabs>
          <w:tab w:val="left" w:pos="1414"/>
        </w:tabs>
        <w:spacing w:after="0"/>
        <w:rPr>
          <w:lang w:val="pl-PL"/>
        </w:rPr>
      </w:pPr>
      <w:r>
        <w:rPr>
          <w:lang w:val="pl-PL"/>
        </w:rPr>
        <w:t xml:space="preserve">Dla </w:t>
      </w:r>
      <w:r>
        <w:rPr>
          <w:b/>
          <w:lang w:val="pl-PL"/>
        </w:rPr>
        <w:t>jednostkowego sy</w:t>
      </w:r>
      <w:r>
        <w:rPr>
          <w:b/>
          <w:lang w:val="pl-PL"/>
        </w:rPr>
        <w:t>stemu wyspecjalizowanego</w:t>
      </w:r>
      <w:r>
        <w:rPr>
          <w:lang w:val="pl-PL"/>
        </w:rPr>
        <w:t>, tworzonych wyłącznie na zamówienie określonego podmiotu - obowiązek żądania kodu źródłowego oraz dokumentacji niezbędnej do utrzymania lub zmian systemu oraz przeniesienia praw autorskich, także jeśli w danym momencie umowa przewi</w:t>
      </w:r>
      <w:r>
        <w:rPr>
          <w:lang w:val="pl-PL"/>
        </w:rPr>
        <w:t xml:space="preserve">duje wsparcie i serwis dla </w:t>
      </w:r>
      <w:r>
        <w:rPr>
          <w:lang w:val="pl-PL"/>
        </w:rPr>
        <w:lastRenderedPageBreak/>
        <w:t>danego systemu. Rozwiąże to problem kupowania przez podmioty publiczne systemów pisanych na ich wyłączne potrzeby ale posiadających wady prawne, prowadzące do ponoszenia nadmiernych kosztów ze względu na uzależnienie od producent</w:t>
      </w:r>
      <w:r>
        <w:rPr>
          <w:lang w:val="pl-PL"/>
        </w:rPr>
        <w:t xml:space="preserve">a. </w:t>
      </w:r>
    </w:p>
    <w:p w14:paraId="5063A62E" w14:textId="77777777" w:rsidR="00000000" w:rsidRDefault="002A5A30">
      <w:pPr>
        <w:pStyle w:val="BodyText"/>
        <w:numPr>
          <w:ilvl w:val="1"/>
          <w:numId w:val="7"/>
        </w:numPr>
        <w:tabs>
          <w:tab w:val="left" w:pos="1414"/>
        </w:tabs>
        <w:spacing w:after="0"/>
        <w:rPr>
          <w:lang w:val="pl-PL"/>
        </w:rPr>
      </w:pPr>
      <w:r>
        <w:rPr>
          <w:lang w:val="pl-PL"/>
        </w:rPr>
        <w:t xml:space="preserve">Dla </w:t>
      </w:r>
      <w:r>
        <w:rPr>
          <w:b/>
          <w:lang w:val="pl-PL"/>
        </w:rPr>
        <w:t>systemu wyspecjalizowanego</w:t>
      </w:r>
      <w:r>
        <w:rPr>
          <w:lang w:val="pl-PL"/>
        </w:rPr>
        <w:t xml:space="preserve">, tworzonego na zamówienie podmiotu ale </w:t>
      </w:r>
      <w:r>
        <w:rPr>
          <w:b/>
          <w:lang w:val="pl-PL"/>
        </w:rPr>
        <w:t>odpowiadającego na potrzeby wielu podobnych podmiotów publicznych</w:t>
      </w:r>
      <w:r>
        <w:rPr>
          <w:lang w:val="pl-PL"/>
        </w:rPr>
        <w:t xml:space="preserve"> - obowiązek żądania ponadto prawa do samodzielnej modyfikacji i przekazywania systemu innym podmiotom publicznym. Po</w:t>
      </w:r>
      <w:r>
        <w:rPr>
          <w:lang w:val="pl-PL"/>
        </w:rPr>
        <w:t>zwoli to na uniknięcie wielokrotnego zamawiania tego samego systemu przez wiele podmiotów publicznych prowadzących identyczną działalność i podlegających identycznym wymaganiom prawnym. Wymóg ten, wprowadzony powszechnie w USA i krajach Europy Zachodniej (</w:t>
      </w:r>
      <w:r>
        <w:rPr>
          <w:lang w:val="pl-PL"/>
        </w:rPr>
        <w:t xml:space="preserve">licencje typu Government Purpose Rights), doprowadził do znacznej racjonalizacji wydatków publicznych i ograniczenia korupcji, bez szkody dla dostawców systemów, którzy nadal mogą oferować podmiotom usługi wsparcia tych systemów. </w:t>
      </w:r>
    </w:p>
    <w:p w14:paraId="19EB1FA9" w14:textId="77777777" w:rsidR="00000000" w:rsidRDefault="002A5A30">
      <w:pPr>
        <w:pStyle w:val="BodyText"/>
        <w:numPr>
          <w:ilvl w:val="1"/>
          <w:numId w:val="7"/>
        </w:numPr>
        <w:tabs>
          <w:tab w:val="left" w:pos="1414"/>
        </w:tabs>
        <w:spacing w:after="0"/>
        <w:rPr>
          <w:lang w:val="pl-PL"/>
        </w:rPr>
      </w:pPr>
      <w:r>
        <w:rPr>
          <w:lang w:val="pl-PL"/>
        </w:rPr>
        <w:t xml:space="preserve">Dla </w:t>
      </w:r>
      <w:r>
        <w:rPr>
          <w:b/>
          <w:lang w:val="pl-PL"/>
        </w:rPr>
        <w:t>systemów niewyspecjal</w:t>
      </w:r>
      <w:r>
        <w:rPr>
          <w:b/>
          <w:lang w:val="pl-PL"/>
        </w:rPr>
        <w:t>izowanych</w:t>
      </w:r>
      <w:r>
        <w:rPr>
          <w:lang w:val="pl-PL"/>
        </w:rPr>
        <w:t xml:space="preserve"> i kupowanych na wolnym rynku - obowiązek żądania by zapewniały one interoperacyjność, w tym co najmniej eksport danych do otwartych formatów oraz komunikację za pomocą otwartych protokołów komunikacji.</w:t>
      </w:r>
    </w:p>
    <w:p w14:paraId="6C2A4DEA" w14:textId="77777777" w:rsidR="00000000" w:rsidRDefault="002A5A30">
      <w:pPr>
        <w:pStyle w:val="BodyText"/>
        <w:numPr>
          <w:ilvl w:val="0"/>
          <w:numId w:val="7"/>
        </w:numPr>
        <w:tabs>
          <w:tab w:val="left" w:pos="707"/>
        </w:tabs>
        <w:rPr>
          <w:lang w:val="pl-PL"/>
        </w:rPr>
      </w:pPr>
      <w:r>
        <w:rPr>
          <w:lang w:val="pl-PL"/>
        </w:rPr>
        <w:t>Zwracamy uwagę, że przyjęta w obecnej wersji</w:t>
      </w:r>
      <w:r>
        <w:rPr>
          <w:lang w:val="pl-PL"/>
        </w:rPr>
        <w:t xml:space="preserve"> projektu koncepcja „jawności standardu” nie stanowi wystarczającej ochrony przed innymi formami ograniczania jego dostępności, jak na przykład patenty.</w:t>
      </w:r>
    </w:p>
    <w:p w14:paraId="2DFBFAB4" w14:textId="77777777" w:rsidR="00000000" w:rsidRDefault="002A5A30">
      <w:pPr>
        <w:pStyle w:val="BodyText"/>
        <w:numPr>
          <w:ilvl w:val="1"/>
          <w:numId w:val="7"/>
        </w:numPr>
        <w:tabs>
          <w:tab w:val="left" w:pos="1414"/>
        </w:tabs>
        <w:rPr>
          <w:lang w:val="pl-PL"/>
        </w:rPr>
      </w:pPr>
      <w:r>
        <w:rPr>
          <w:lang w:val="pl-PL"/>
        </w:rPr>
        <w:t>Przez otwartość standardu rozumiemy jawność jego specyfikacji, jej dostępność bezpłatnie lub po kosztac</w:t>
      </w:r>
      <w:r>
        <w:rPr>
          <w:lang w:val="pl-PL"/>
        </w:rPr>
        <w:t>h sporządzenia kopii, brak ograniczeń w stosowaniu wynikający z praw własności intelektualnej (IP) oraz deklarację podmiotu odpowiedzialnego o braku ukrytych zobowiązań lub oświadczenie o udzieleniu nieograniczonej licencji, jeśli podmiot jest  właściciele</w:t>
      </w:r>
      <w:r>
        <w:rPr>
          <w:lang w:val="pl-PL"/>
        </w:rPr>
        <w:t>m tych praw.</w:t>
      </w:r>
    </w:p>
    <w:p w14:paraId="36CD860F" w14:textId="77777777" w:rsidR="00000000" w:rsidRDefault="002A5A30">
      <w:pPr>
        <w:numPr>
          <w:ilvl w:val="2"/>
          <w:numId w:val="7"/>
        </w:numPr>
        <w:tabs>
          <w:tab w:val="left" w:pos="2121"/>
        </w:tabs>
        <w:rPr>
          <w:lang w:val="pl-PL"/>
        </w:rPr>
      </w:pPr>
      <w:r>
        <w:rPr>
          <w:lang w:val="pl-PL"/>
        </w:rPr>
        <w:t>Zwracamy uwagę, że nie zostały rozstrzygnięte spory o europejskie regulacje dotyczące patentowania rozwiązań informatycznych oraz o inne regulacje praw własności intelektualnej związane z informatyką. Europejski Urząd Patentowy (EPO) i inne ur</w:t>
      </w:r>
      <w:r>
        <w:rPr>
          <w:lang w:val="pl-PL"/>
        </w:rPr>
        <w:t xml:space="preserve">zędy patentowe udzieliły tysiące patentów na rozwiązania informatyczne, w tym takie które są wykorzystywane w licznych międzynarodowych standardach. Niektóre z tych patentów obowiązują także w Polsce. </w:t>
      </w:r>
    </w:p>
    <w:p w14:paraId="059CCFE9" w14:textId="77777777" w:rsidR="00000000" w:rsidRDefault="002A5A30">
      <w:pPr>
        <w:numPr>
          <w:ilvl w:val="2"/>
          <w:numId w:val="7"/>
        </w:numPr>
        <w:tabs>
          <w:tab w:val="left" w:pos="2121"/>
        </w:tabs>
        <w:rPr>
          <w:lang w:val="pl-PL"/>
        </w:rPr>
      </w:pPr>
      <w:r>
        <w:rPr>
          <w:lang w:val="pl-PL"/>
        </w:rPr>
        <w:t>W interesie państwa polskiego jest dążenie do stanu, w</w:t>
      </w:r>
      <w:r>
        <w:rPr>
          <w:lang w:val="pl-PL"/>
        </w:rPr>
        <w:t xml:space="preserve"> którym administracja publiczna nie jest uzależniona od algorytmów i formatów, których wykorzystanie może się wiązać z koniecznością uiszczania opłat licencyjnych. Stan ten można stosunkowo łatwo osiągnąć przyjmując proponowane przez nas rozumienie otwarto</w:t>
      </w:r>
      <w:r>
        <w:rPr>
          <w:lang w:val="pl-PL"/>
        </w:rPr>
        <w:t>ści standardu i preferowanie tak rozumianych otwartych standardów przy ustalaniu list standardów zalecanych, tolerowanych i obligatoryjnych.</w:t>
      </w:r>
    </w:p>
    <w:p w14:paraId="6BE0C4AE" w14:textId="77777777" w:rsidR="00000000" w:rsidRDefault="002A5A30">
      <w:pPr>
        <w:pStyle w:val="BodyText"/>
        <w:numPr>
          <w:ilvl w:val="1"/>
          <w:numId w:val="7"/>
        </w:numPr>
        <w:tabs>
          <w:tab w:val="left" w:pos="1414"/>
        </w:tabs>
        <w:rPr>
          <w:lang w:val="pl-PL"/>
        </w:rPr>
      </w:pPr>
      <w:r>
        <w:rPr>
          <w:lang w:val="pl-PL"/>
        </w:rPr>
        <w:t>Wyjątki od stosowania otwartych standardów powinny być dopuszczalne z odpowiednim uzasadnieniem, dlaczego wykorzyst</w:t>
      </w:r>
      <w:r>
        <w:rPr>
          <w:lang w:val="pl-PL"/>
        </w:rPr>
        <w:t>anie otwartego standardu jest niemożliwe. W szczególności dotyczy to przypadków kiedy na rynku nie ma rozwiązań stosujących formaty w pełni otwarte (np. GSM, HDCP) lub korzystanie z otwartych standardów byłoby w dłuższej perspektywie nieopłacalne.</w:t>
      </w:r>
    </w:p>
    <w:p w14:paraId="28E63967" w14:textId="77777777" w:rsidR="00000000" w:rsidRDefault="002A5A30">
      <w:pPr>
        <w:numPr>
          <w:ilvl w:val="0"/>
          <w:numId w:val="5"/>
        </w:numPr>
        <w:tabs>
          <w:tab w:val="left" w:pos="707"/>
        </w:tabs>
        <w:rPr>
          <w:lang w:val="pl-PL"/>
        </w:rPr>
      </w:pPr>
      <w:r>
        <w:rPr>
          <w:lang w:val="pl-PL"/>
        </w:rPr>
        <w:t>Uregulow</w:t>
      </w:r>
      <w:r>
        <w:rPr>
          <w:lang w:val="pl-PL"/>
        </w:rPr>
        <w:t xml:space="preserve">ane powinny zostać </w:t>
      </w:r>
      <w:r>
        <w:rPr>
          <w:b/>
          <w:bCs/>
          <w:lang w:val="pl-PL"/>
        </w:rPr>
        <w:t>prawa do utworów  finansowanych ze środków publicznych</w:t>
      </w:r>
      <w:r>
        <w:rPr>
          <w:lang w:val="pl-PL"/>
        </w:rPr>
        <w:t xml:space="preserve">. W szczególności wymagane jest określenie, </w:t>
      </w:r>
      <w:r>
        <w:rPr>
          <w:b/>
          <w:bCs/>
          <w:lang w:val="pl-PL"/>
        </w:rPr>
        <w:t>czy prawa do powielania, dystrybucji i modyfikacji tych utworów mogą być ograniczane</w:t>
      </w:r>
      <w:r>
        <w:rPr>
          <w:lang w:val="pl-PL"/>
        </w:rPr>
        <w:t>, a jeśli tak to w jakim zakresie, w jakich przypadkach</w:t>
      </w:r>
      <w:r>
        <w:rPr>
          <w:lang w:val="pl-PL"/>
        </w:rPr>
        <w:t xml:space="preserve"> i na jakich warunkach. Internet Society Poland stoi na stanowisku, że utwory tworzone za pieniądze publiczne powinny być jak najszerzej dostępne dla obywateli, którzy </w:t>
      </w:r>
      <w:r>
        <w:rPr>
          <w:lang w:val="pl-PL"/>
        </w:rPr>
        <w:lastRenderedPageBreak/>
        <w:t>sfinansowali ich powstanie, oraz innych organów administracji publicznej. W szczególnośc</w:t>
      </w:r>
      <w:r>
        <w:rPr>
          <w:lang w:val="pl-PL"/>
        </w:rPr>
        <w:t xml:space="preserve">i należy tutaj wymienić: </w:t>
      </w:r>
    </w:p>
    <w:p w14:paraId="2334F75E" w14:textId="77777777" w:rsidR="00000000" w:rsidRDefault="002A5A30">
      <w:pPr>
        <w:pStyle w:val="BodyText"/>
        <w:numPr>
          <w:ilvl w:val="1"/>
          <w:numId w:val="8"/>
        </w:numPr>
        <w:tabs>
          <w:tab w:val="left" w:pos="1414"/>
        </w:tabs>
        <w:spacing w:after="0"/>
        <w:rPr>
          <w:lang w:val="pl-PL"/>
        </w:rPr>
      </w:pPr>
      <w:r>
        <w:rPr>
          <w:lang w:val="pl-PL"/>
        </w:rPr>
        <w:t>Programy radiowe i telewizyjne tworzone przez media publiczne na przestrzeni lat, w szczególności utwory do których wygasły prawa autorskie i które powinny stanowić własność publiczną. Pozwoli to ograniczyć nadużycia związane z pr</w:t>
      </w:r>
      <w:r>
        <w:rPr>
          <w:lang w:val="pl-PL"/>
        </w:rPr>
        <w:t xml:space="preserve">zypadkami, gdy podmioty powołane do ich udostępniania pobierają opłaty niewspółmierne do kosztów udostępnienia. </w:t>
      </w:r>
    </w:p>
    <w:p w14:paraId="4202878C" w14:textId="77777777" w:rsidR="00000000" w:rsidRDefault="002A5A30">
      <w:pPr>
        <w:pStyle w:val="BodyText"/>
        <w:numPr>
          <w:ilvl w:val="1"/>
          <w:numId w:val="8"/>
        </w:numPr>
        <w:tabs>
          <w:tab w:val="left" w:pos="1414"/>
        </w:tabs>
        <w:rPr>
          <w:lang w:val="pl-PL"/>
        </w:rPr>
      </w:pPr>
      <w:r>
        <w:rPr>
          <w:lang w:val="pl-PL"/>
        </w:rPr>
        <w:t>Ekspertyzy, analizy i inne opracowania zamawiane przez podmioty publiczne, które jako finansowane ze środków publicznych powinny stanowić infor</w:t>
      </w:r>
      <w:r>
        <w:rPr>
          <w:lang w:val="pl-PL"/>
        </w:rPr>
        <w:t>mację publiczną oraz powinny być szeroko wykorzystywane przez inne podmioty publiczne. W obecnej sytuacji poszczególne urzędy wielokrotnie zamawiają analizy prawne tego samego przepisu lub opracowania na identyczny temat (np. analiza procesów), nieracjonal</w:t>
      </w:r>
      <w:r>
        <w:rPr>
          <w:lang w:val="pl-PL"/>
        </w:rPr>
        <w:t>nie wydatkując środki publiczne. W wielu przypadkach wadliwy sposób zamówienia powoduje, że prawa zamawiającego do dysponowania danym dziełem są na różne sposoby ograniczane, nawet jeśli stoi to w sprzeczności z innymi przepisami prawa (np. ustawa o dostęp</w:t>
      </w:r>
      <w:r>
        <w:rPr>
          <w:lang w:val="pl-PL"/>
        </w:rPr>
        <w:t xml:space="preserve">ie do informacji publicznej czy art. 4 pkt 2 prawa autorskiego). </w:t>
      </w:r>
    </w:p>
    <w:p w14:paraId="7616DAC0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65D2F03C" w14:textId="77777777" w:rsidR="00000000" w:rsidRDefault="002A5A30">
      <w:pPr>
        <w:pStyle w:val="ListContents"/>
        <w:ind w:left="0"/>
        <w:jc w:val="center"/>
        <w:rPr>
          <w:lang w:val="pl-PL"/>
        </w:rPr>
      </w:pPr>
    </w:p>
    <w:p w14:paraId="68570AA2" w14:textId="77777777" w:rsidR="00000000" w:rsidRDefault="002A5A30">
      <w:pPr>
        <w:pStyle w:val="ListContents"/>
        <w:ind w:left="0"/>
        <w:rPr>
          <w:lang w:val="pl-PL"/>
        </w:rPr>
      </w:pPr>
    </w:p>
    <w:p w14:paraId="6E3FC4B6" w14:textId="77777777" w:rsidR="00000000" w:rsidRDefault="002A5A30">
      <w:pPr>
        <w:pStyle w:val="ListContents"/>
        <w:ind w:left="0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12 pkt 3b </w:t>
      </w:r>
      <w:r>
        <w:rPr>
          <w:i/>
          <w:shd w:val="clear" w:color="auto" w:fill="FFFF00"/>
          <w:lang w:val="pl-PL"/>
        </w:rPr>
        <w:t>"Do wniosku, o którym mowa w ust. 1, dołącza się (...) analizę ekonomiczno-finansową celowości ustanowienia przedsięwzięcia"</w:t>
      </w:r>
      <w:r>
        <w:rPr>
          <w:shd w:val="clear" w:color="auto" w:fill="FFFF00"/>
          <w:lang w:val="pl-PL"/>
        </w:rPr>
        <w:t xml:space="preserve"> </w:t>
      </w:r>
    </w:p>
    <w:p w14:paraId="1F6A6E7C" w14:textId="77777777" w:rsidR="00000000" w:rsidRDefault="002A5A30">
      <w:pPr>
        <w:pStyle w:val="ListContents"/>
        <w:numPr>
          <w:ilvl w:val="0"/>
          <w:numId w:val="9"/>
        </w:numPr>
        <w:tabs>
          <w:tab w:val="left" w:pos="707"/>
        </w:tabs>
        <w:rPr>
          <w:lang w:val="pl-PL"/>
        </w:rPr>
      </w:pPr>
      <w:r>
        <w:rPr>
          <w:lang w:val="pl-PL"/>
        </w:rPr>
        <w:t>Do wniosku poza analizą kosztów i zysków powin</w:t>
      </w:r>
      <w:r>
        <w:rPr>
          <w:lang w:val="pl-PL"/>
        </w:rPr>
        <w:t xml:space="preserve">na być dołączana także podstawowa analiza ryzyka biznesowego. </w:t>
      </w:r>
    </w:p>
    <w:p w14:paraId="511D41F8" w14:textId="77777777" w:rsidR="00000000" w:rsidRDefault="002A5A30">
      <w:pPr>
        <w:pStyle w:val="ListContents"/>
        <w:numPr>
          <w:ilvl w:val="0"/>
          <w:numId w:val="9"/>
        </w:numPr>
        <w:tabs>
          <w:tab w:val="left" w:pos="707"/>
        </w:tabs>
        <w:rPr>
          <w:lang w:val="pl-PL"/>
        </w:rPr>
      </w:pPr>
      <w:r>
        <w:rPr>
          <w:lang w:val="pl-PL"/>
        </w:rPr>
        <w:t>Dla zagwarantowania transparentności życia publicznego oraz przeciwdziałania korupcji napływające wnioski powinny być publikowane przez podmiot je rozpatrujący wraz opiniami Rady oraz ewentualn</w:t>
      </w:r>
      <w:r>
        <w:rPr>
          <w:lang w:val="pl-PL"/>
        </w:rPr>
        <w:t xml:space="preserve">ymi opiniami ekspertów zewnętrznych. </w:t>
      </w:r>
    </w:p>
    <w:p w14:paraId="6A78A666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3194990E" w14:textId="77777777" w:rsidR="00000000" w:rsidRDefault="002A5A30">
      <w:pPr>
        <w:pStyle w:val="ListContents"/>
        <w:ind w:left="0"/>
        <w:rPr>
          <w:lang w:val="pl-PL"/>
        </w:rPr>
      </w:pPr>
    </w:p>
    <w:p w14:paraId="2CC08D8C" w14:textId="77777777" w:rsidR="00000000" w:rsidRDefault="002A5A30">
      <w:pPr>
        <w:pStyle w:val="ListContents"/>
        <w:ind w:left="0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13 pkt 1a </w:t>
      </w:r>
      <w:r>
        <w:rPr>
          <w:i/>
          <w:shd w:val="clear" w:color="auto" w:fill="FFFF00"/>
          <w:lang w:val="pl-PL"/>
        </w:rPr>
        <w:t>"Postanowienia ust.1 nie stosuje się do systemów teleinformatycznych</w:t>
      </w:r>
      <w:r>
        <w:rPr>
          <w:i/>
          <w:shd w:val="clear" w:color="auto" w:fill="FFFF00"/>
          <w:lang w:val="pl-PL"/>
        </w:rPr>
        <w:br/>
        <w:t>używanych do celów naukowych i dydaktycznych"</w:t>
      </w:r>
      <w:r>
        <w:rPr>
          <w:shd w:val="clear" w:color="auto" w:fill="FFFF00"/>
          <w:lang w:val="pl-PL"/>
        </w:rPr>
        <w:t xml:space="preserve"> </w:t>
      </w:r>
    </w:p>
    <w:p w14:paraId="7202F711" w14:textId="77777777" w:rsidR="00000000" w:rsidRDefault="002A5A30">
      <w:pPr>
        <w:pStyle w:val="ListContents"/>
        <w:numPr>
          <w:ilvl w:val="0"/>
          <w:numId w:val="10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Dopisać: "oraz testowych" </w:t>
      </w:r>
    </w:p>
    <w:p w14:paraId="76CD44C1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3BD38A70" w14:textId="77777777" w:rsidR="00000000" w:rsidRDefault="002A5A30">
      <w:pPr>
        <w:pStyle w:val="ListContents"/>
        <w:ind w:left="0"/>
        <w:rPr>
          <w:lang w:val="pl-PL"/>
        </w:rPr>
      </w:pPr>
    </w:p>
    <w:p w14:paraId="3D72BAF0" w14:textId="77777777" w:rsidR="00000000" w:rsidRDefault="002A5A30">
      <w:pPr>
        <w:pStyle w:val="ListContents"/>
        <w:ind w:left="0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16 ust. 3 - </w:t>
      </w:r>
      <w:r>
        <w:rPr>
          <w:i/>
          <w:shd w:val="clear" w:color="auto" w:fill="FFFF00"/>
          <w:lang w:val="pl-PL"/>
        </w:rPr>
        <w:t>"uwzględniając (...) potrzebę zapewnien</w:t>
      </w:r>
      <w:r>
        <w:rPr>
          <w:i/>
          <w:shd w:val="clear" w:color="auto" w:fill="FFFF00"/>
          <w:lang w:val="pl-PL"/>
        </w:rPr>
        <w:t>ia integralności</w:t>
      </w:r>
      <w:r>
        <w:rPr>
          <w:i/>
          <w:shd w:val="clear" w:color="auto" w:fill="FFFF00"/>
          <w:lang w:val="pl-PL"/>
        </w:rPr>
        <w:br/>
        <w:t>dokumentów elektronicznych"</w:t>
      </w:r>
      <w:r>
        <w:rPr>
          <w:shd w:val="clear" w:color="auto" w:fill="FFFF00"/>
          <w:lang w:val="pl-PL"/>
        </w:rPr>
        <w:t xml:space="preserve"> </w:t>
      </w:r>
    </w:p>
    <w:p w14:paraId="757A5144" w14:textId="77777777" w:rsidR="00000000" w:rsidRDefault="002A5A30">
      <w:pPr>
        <w:pStyle w:val="ListContents"/>
        <w:numPr>
          <w:ilvl w:val="0"/>
          <w:numId w:val="11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Dopisać: "integralności oraz autentyczności" </w:t>
      </w:r>
    </w:p>
    <w:p w14:paraId="708C93DD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5C11705B" w14:textId="77777777" w:rsidR="00000000" w:rsidRDefault="002A5A30">
      <w:pPr>
        <w:pStyle w:val="ListContents"/>
        <w:ind w:left="0"/>
        <w:rPr>
          <w:lang w:val="pl-PL"/>
        </w:rPr>
      </w:pPr>
    </w:p>
    <w:p w14:paraId="241042A1" w14:textId="77777777" w:rsidR="00000000" w:rsidRDefault="002A5A30">
      <w:pPr>
        <w:pStyle w:val="ListContents"/>
        <w:ind w:left="0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Art. 17 pkt 9 - </w:t>
      </w:r>
      <w:r>
        <w:rPr>
          <w:i/>
          <w:shd w:val="clear" w:color="auto" w:fill="FFFF00"/>
          <w:lang w:val="pl-PL"/>
        </w:rPr>
        <w:t>"Rekomendowany do Rady kandydat posiada wykształcenie wyższe"</w:t>
      </w:r>
      <w:r>
        <w:rPr>
          <w:shd w:val="clear" w:color="auto" w:fill="FFFF00"/>
          <w:lang w:val="pl-PL"/>
        </w:rPr>
        <w:t xml:space="preserve"> </w:t>
      </w:r>
    </w:p>
    <w:p w14:paraId="1ED8DFB9" w14:textId="77777777" w:rsidR="00000000" w:rsidRDefault="002A5A30">
      <w:pPr>
        <w:pStyle w:val="ListContents"/>
        <w:numPr>
          <w:ilvl w:val="0"/>
          <w:numId w:val="12"/>
        </w:numPr>
        <w:tabs>
          <w:tab w:val="left" w:pos="707"/>
        </w:tabs>
        <w:rPr>
          <w:lang w:val="pl-PL"/>
        </w:rPr>
      </w:pPr>
      <w:r>
        <w:rPr>
          <w:lang w:val="pl-PL"/>
        </w:rPr>
        <w:t>Dyskryminacja nieuzasadniona względami merytorycznymi.</w:t>
      </w:r>
    </w:p>
    <w:p w14:paraId="010B8FC2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3396A6E5" w14:textId="77777777" w:rsidR="00000000" w:rsidRDefault="002A5A30">
      <w:pPr>
        <w:pStyle w:val="ListContents"/>
        <w:ind w:left="0"/>
        <w:rPr>
          <w:lang w:val="pl-PL"/>
        </w:rPr>
      </w:pPr>
    </w:p>
    <w:p w14:paraId="358D797B" w14:textId="77777777" w:rsidR="00000000" w:rsidRDefault="002A5A30">
      <w:pPr>
        <w:pStyle w:val="ListContents"/>
        <w:ind w:left="0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>Zmiany do Kodeksu postępow</w:t>
      </w:r>
      <w:r>
        <w:rPr>
          <w:shd w:val="clear" w:color="auto" w:fill="FFFF00"/>
          <w:lang w:val="pl-PL"/>
        </w:rPr>
        <w:t xml:space="preserve">ania administracyjnego, art. 46 </w:t>
      </w:r>
      <w:r>
        <w:rPr>
          <w:i/>
          <w:shd w:val="clear" w:color="auto" w:fill="FFFF00"/>
          <w:lang w:val="pl-PL"/>
        </w:rPr>
        <w:t xml:space="preserve">"Doręczenie dokumentu w formie </w:t>
      </w:r>
      <w:r>
        <w:rPr>
          <w:i/>
          <w:shd w:val="clear" w:color="auto" w:fill="FFFF00"/>
          <w:lang w:val="pl-PL"/>
        </w:rPr>
        <w:lastRenderedPageBreak/>
        <w:t>dokumentu elektronicznego do podmiotu publicznego w rozumieniu przepisów ustawy, o której mowaw § 4 pkt 3, następuje przez elektroniczną skrzynkę podawczą tego podmiotu, w sposób określony w te</w:t>
      </w:r>
      <w:r>
        <w:rPr>
          <w:i/>
          <w:shd w:val="clear" w:color="auto" w:fill="FFFF00"/>
          <w:lang w:val="pl-PL"/>
        </w:rPr>
        <w:t>j ustawie"</w:t>
      </w:r>
      <w:r>
        <w:rPr>
          <w:shd w:val="clear" w:color="auto" w:fill="FFFF00"/>
          <w:lang w:val="pl-PL"/>
        </w:rPr>
        <w:t xml:space="preserve"> </w:t>
      </w:r>
    </w:p>
    <w:p w14:paraId="0F7A444F" w14:textId="77777777" w:rsidR="00000000" w:rsidRDefault="002A5A30">
      <w:pPr>
        <w:pStyle w:val="ListContents"/>
        <w:numPr>
          <w:ilvl w:val="0"/>
          <w:numId w:val="13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Celem strategicznym powinno być zagwarantowanie, że realizowana będzie </w:t>
      </w:r>
      <w:r>
        <w:rPr>
          <w:b/>
          <w:bCs/>
          <w:lang w:val="pl-PL"/>
        </w:rPr>
        <w:t>faktyczna</w:t>
      </w:r>
      <w:r>
        <w:rPr>
          <w:lang w:val="pl-PL"/>
        </w:rPr>
        <w:t xml:space="preserve"> interoperacyjność pomiędzy urzędami polegająca na tym, że obywatel </w:t>
      </w:r>
      <w:r>
        <w:rPr>
          <w:b/>
          <w:bCs/>
          <w:lang w:val="pl-PL"/>
        </w:rPr>
        <w:t xml:space="preserve">może otrzymać dokument elektroniczny od jednego urzędu a następnie złożyć go w tej samej formie </w:t>
      </w:r>
      <w:r>
        <w:rPr>
          <w:b/>
          <w:bCs/>
          <w:lang w:val="pl-PL"/>
        </w:rPr>
        <w:t>w drugim urzędzie ze skutkiem prawnym</w:t>
      </w:r>
      <w:r>
        <w:rPr>
          <w:lang w:val="pl-PL"/>
        </w:rPr>
        <w:t>. W chwili obecnej jest to w praktyce niemożliwe ze względu na brak interoperacyjności w zakresie formatów dokumentów wytwarzanych i akceptowanych przez poszczególne urzędy. Interoperacyjność na tym poziomie zaburza tak</w:t>
      </w:r>
      <w:r>
        <w:rPr>
          <w:lang w:val="pl-PL"/>
        </w:rPr>
        <w:t xml:space="preserve">że wyłączenie z wymagań ustawy znacznych grup urzędów, które w rezultacie nie muszą udostępniać ani akceptować dokumentów w formatach akceptowanych przez pozostałe urzędy. </w:t>
      </w:r>
    </w:p>
    <w:p w14:paraId="609B339C" w14:textId="77777777" w:rsidR="00000000" w:rsidRDefault="002A5A30">
      <w:pPr>
        <w:pStyle w:val="ListHeading"/>
        <w:pBdr>
          <w:bottom w:val="double" w:sz="28" w:space="2" w:color="000000"/>
        </w:pBdr>
        <w:rPr>
          <w:lang w:val="pl-PL"/>
        </w:rPr>
      </w:pPr>
    </w:p>
    <w:p w14:paraId="3D17C841" w14:textId="77777777" w:rsidR="00000000" w:rsidRDefault="002A5A30">
      <w:pPr>
        <w:pStyle w:val="ListContents"/>
        <w:ind w:left="0"/>
        <w:rPr>
          <w:lang w:val="pl-PL"/>
        </w:rPr>
      </w:pPr>
    </w:p>
    <w:p w14:paraId="546A449F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>Zmiany do Kodeksu postępowania administracyjnego, Art. 107 § 1, art. 124 § 1, w a</w:t>
      </w:r>
      <w:r>
        <w:rPr>
          <w:shd w:val="clear" w:color="auto" w:fill="FFFF00"/>
          <w:lang w:val="pl-PL"/>
        </w:rPr>
        <w:t xml:space="preserve">rt. 238 § 1 - </w:t>
      </w:r>
      <w:r>
        <w:rPr>
          <w:i/>
          <w:shd w:val="clear" w:color="auto" w:fill="FFFF00"/>
          <w:lang w:val="pl-PL"/>
        </w:rPr>
        <w:t xml:space="preserve">"Decyzja powinna zawierać (...) jeżeli decyzja wydana została w formie dokumentu elektronicznego, powinna być opatrzona bezpiecznym podpisem elektronicznym weryfikowanym za pomocą </w:t>
      </w:r>
      <w:r>
        <w:rPr>
          <w:b/>
          <w:bCs/>
          <w:i/>
          <w:shd w:val="clear" w:color="auto" w:fill="FFFF00"/>
          <w:lang w:val="pl-PL"/>
        </w:rPr>
        <w:t>ważnego</w:t>
      </w:r>
      <w:r>
        <w:rPr>
          <w:i/>
          <w:shd w:val="clear" w:color="auto" w:fill="FFFF00"/>
          <w:lang w:val="pl-PL"/>
        </w:rPr>
        <w:t xml:space="preserve"> kwalifikowanego certyfikatu"</w:t>
      </w:r>
      <w:r>
        <w:rPr>
          <w:shd w:val="clear" w:color="auto" w:fill="FFFF00"/>
          <w:lang w:val="pl-PL"/>
        </w:rPr>
        <w:t xml:space="preserve"> </w:t>
      </w:r>
    </w:p>
    <w:p w14:paraId="0BD76DE4" w14:textId="77777777" w:rsidR="00000000" w:rsidRDefault="002A5A30">
      <w:pPr>
        <w:pStyle w:val="ListContents"/>
        <w:numPr>
          <w:ilvl w:val="0"/>
          <w:numId w:val="14"/>
        </w:numPr>
        <w:tabs>
          <w:tab w:val="left" w:pos="707"/>
        </w:tabs>
        <w:rPr>
          <w:lang w:val="pl-PL"/>
        </w:rPr>
      </w:pPr>
      <w:r>
        <w:rPr>
          <w:lang w:val="pl-PL"/>
        </w:rPr>
        <w:t>Z powyższego zapisu nale</w:t>
      </w:r>
      <w:r>
        <w:rPr>
          <w:lang w:val="pl-PL"/>
        </w:rPr>
        <w:t xml:space="preserve">ży usunąć słowo "ważnego" - jest to zmiana zgodna z wprowadzoną w projekcie ustawy o podpisach. Wymóg ten </w:t>
      </w:r>
      <w:r>
        <w:rPr>
          <w:b/>
          <w:bCs/>
          <w:lang w:val="pl-PL"/>
        </w:rPr>
        <w:t>w obecnej formie ogranicza ważność decyzji do czasu ważności certyfikatu osoby, która podpisała decyzję</w:t>
      </w:r>
      <w:r>
        <w:rPr>
          <w:lang w:val="pl-PL"/>
        </w:rPr>
        <w:t>, jeśli decyzja zostanie wystawiona bez dodatko</w:t>
      </w:r>
      <w:r>
        <w:rPr>
          <w:lang w:val="pl-PL"/>
        </w:rPr>
        <w:t>wego mechanizmu potwierdzającego datę złożenia podpisu (a o takim wymogu się tutaj nie wspomina). W rezultacie obywatel chcący przy pomocy takiej decyzji wykonywać czynności prawne zostanie tej możliwości pozbawiony po wygaśnięciu certyfikatu wystawcy (czy</w:t>
      </w:r>
      <w:r>
        <w:rPr>
          <w:lang w:val="pl-PL"/>
        </w:rPr>
        <w:t>li do ok. dwóch lat)</w:t>
      </w:r>
    </w:p>
    <w:p w14:paraId="629F8D68" w14:textId="77777777" w:rsidR="00000000" w:rsidRDefault="002A5A30">
      <w:pPr>
        <w:pStyle w:val="ListContents"/>
        <w:numPr>
          <w:ilvl w:val="0"/>
          <w:numId w:val="14"/>
        </w:numPr>
        <w:tabs>
          <w:tab w:val="left" w:pos="707"/>
        </w:tabs>
        <w:rPr>
          <w:lang w:val="pl-PL"/>
        </w:rPr>
      </w:pPr>
      <w:r>
        <w:rPr>
          <w:lang w:val="pl-PL"/>
        </w:rPr>
        <w:t>Problem ten, wynikajacy z zapisu ustawy o podpisie elektronicznym, jest obecnie widoczny w sposób szczególnie dotkliwy w przypadku faktur elektronicznych, które – opatrzone jedynie bezpiecznym podpisem – przestają być poprawnie weryfik</w:t>
      </w:r>
      <w:r>
        <w:rPr>
          <w:lang w:val="pl-PL"/>
        </w:rPr>
        <w:t>owane po wygaśnięciu certyfikatu osoby podpisującej (maksymalnie 2 lata). Równocześnie okres ich ważności wymagany przez urzędy skarbowe to pięć lat.</w:t>
      </w:r>
    </w:p>
    <w:p w14:paraId="1E00B6DC" w14:textId="77777777" w:rsidR="00000000" w:rsidRDefault="002A5A30">
      <w:pPr>
        <w:pStyle w:val="ListContents"/>
        <w:numPr>
          <w:ilvl w:val="0"/>
          <w:numId w:val="14"/>
        </w:numPr>
        <w:tabs>
          <w:tab w:val="left" w:pos="707"/>
        </w:tabs>
        <w:rPr>
          <w:lang w:val="pl-PL"/>
        </w:rPr>
      </w:pPr>
      <w:r>
        <w:rPr>
          <w:lang w:val="pl-PL"/>
        </w:rPr>
        <w:t>Jest to część szerszego problemu jakim jest r</w:t>
      </w:r>
      <w:r>
        <w:rPr>
          <w:b/>
          <w:bCs/>
          <w:lang w:val="pl-PL"/>
        </w:rPr>
        <w:t>acjonalna polityka weryfikacji dokumentów podpisanych podpise</w:t>
      </w:r>
      <w:r>
        <w:rPr>
          <w:b/>
          <w:bCs/>
          <w:lang w:val="pl-PL"/>
        </w:rPr>
        <w:t>m elektronicznym</w:t>
      </w:r>
      <w:r>
        <w:rPr>
          <w:lang w:val="pl-PL"/>
        </w:rPr>
        <w:t>. Zachęcamy MSWiA do ustosunkowania się do tego problemu przez publikację spójnych zasad weryfikacji różnego rodzaju dokumentów, z uwzględnieniem różnych scenariuszy (elektroniczna dokumentacja medyczna, faktury elektroniczne, decyzje urzęd</w:t>
      </w:r>
      <w:r>
        <w:rPr>
          <w:lang w:val="pl-PL"/>
        </w:rPr>
        <w:t>owe, akty prawne itd.) i różnych poziomów pewności wymaganych w różnych zastosowaniach.</w:t>
      </w:r>
    </w:p>
    <w:p w14:paraId="1C73D4DD" w14:textId="77777777" w:rsidR="00000000" w:rsidRDefault="002A5A30">
      <w:pPr>
        <w:pStyle w:val="ListContents"/>
        <w:numPr>
          <w:ilvl w:val="0"/>
          <w:numId w:val="14"/>
        </w:numPr>
        <w:tabs>
          <w:tab w:val="left" w:pos="707"/>
        </w:tabs>
        <w:rPr>
          <w:lang w:val="pl-PL"/>
        </w:rPr>
      </w:pPr>
      <w:r>
        <w:rPr>
          <w:lang w:val="pl-PL"/>
        </w:rPr>
        <w:t xml:space="preserve">Konieczne jest także umieszczenie w treści dokumentu </w:t>
      </w:r>
      <w:r>
        <w:rPr>
          <w:b/>
          <w:bCs/>
          <w:lang w:val="pl-PL"/>
        </w:rPr>
        <w:t>jednoznacznych wskazówek na temat okresu ważności dokumentu</w:t>
      </w:r>
      <w:r>
        <w:rPr>
          <w:lang w:val="pl-PL"/>
        </w:rPr>
        <w:t xml:space="preserve"> w tej formie oraz możliwości jej podtrzymania tak, by z</w:t>
      </w:r>
      <w:r>
        <w:rPr>
          <w:lang w:val="pl-PL"/>
        </w:rPr>
        <w:t>agwarantować obywatelowi ciągłość obowiązywania decyzji urzędowej na wiele lat po jej wydaniu w formie elektronicznej.</w:t>
      </w:r>
    </w:p>
    <w:p w14:paraId="22B9EBF1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Zmiany do Kodeksu postępowania administracyjnego, art. 220 § 1 - </w:t>
      </w:r>
      <w:r>
        <w:rPr>
          <w:i/>
          <w:iCs/>
          <w:shd w:val="clear" w:color="auto" w:fill="FFFF00"/>
          <w:lang w:val="pl-PL"/>
        </w:rPr>
        <w:t>"Organ administracji publicznej nie może żądać zaświadczenia na potwierd</w:t>
      </w:r>
      <w:r>
        <w:rPr>
          <w:i/>
          <w:iCs/>
          <w:shd w:val="clear" w:color="auto" w:fill="FFFF00"/>
          <w:lang w:val="pl-PL"/>
        </w:rPr>
        <w:t>zenie faktów lub stanu prawnego, jeżeli: 1) znane są one organowi z urzędu; 2) możliwe są do ustalenia przez organ na podstawie..."</w:t>
      </w:r>
      <w:r>
        <w:rPr>
          <w:shd w:val="clear" w:color="auto" w:fill="FFFF00"/>
          <w:lang w:val="pl-PL"/>
        </w:rPr>
        <w:t xml:space="preserve"> </w:t>
      </w:r>
    </w:p>
    <w:p w14:paraId="519D453B" w14:textId="77777777" w:rsidR="00000000" w:rsidRDefault="002A5A30">
      <w:pPr>
        <w:numPr>
          <w:ilvl w:val="1"/>
          <w:numId w:val="14"/>
        </w:numPr>
        <w:tabs>
          <w:tab w:val="left" w:pos="1414"/>
        </w:tabs>
        <w:rPr>
          <w:lang w:val="pl-PL"/>
        </w:rPr>
      </w:pPr>
      <w:r>
        <w:rPr>
          <w:lang w:val="pl-PL"/>
        </w:rPr>
        <w:t>Zdecydowanie wspieramy ten zapis i uważamy za niezwykle istotne ograniczenie ilości informacji, których domagają się urzędy</w:t>
      </w:r>
      <w:r>
        <w:rPr>
          <w:lang w:val="pl-PL"/>
        </w:rPr>
        <w:t xml:space="preserve"> przy uruchamianiu procedur urzędowych, a które są i tak w ich posiadaniu lub łatwo dostępne na podstawie indywidualnych numerów identyfikacyjych. W obecnej sytuacji każda procedura wymaga  podania ogromnych ilości zduplikowanych informacji, które trzeba w</w:t>
      </w:r>
      <w:r>
        <w:rPr>
          <w:lang w:val="pl-PL"/>
        </w:rPr>
        <w:t xml:space="preserve">ielokrotnie i za każdym </w:t>
      </w:r>
      <w:r>
        <w:rPr>
          <w:lang w:val="pl-PL"/>
        </w:rPr>
        <w:lastRenderedPageBreak/>
        <w:t>razem wpisywać w urzędowych formularzach.</w:t>
      </w:r>
    </w:p>
    <w:p w14:paraId="1975C99E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</w:p>
    <w:p w14:paraId="56C47C6D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 xml:space="preserve">Zmiany do Prawa o ruchu drogowym w art. 80c, 100c - "Każdy może uzyskać, nieodpłatnie, potwierdzenie lub zaprzeczenie zgodności danych (...)" </w:t>
      </w:r>
    </w:p>
    <w:p w14:paraId="4AE64D1F" w14:textId="77777777" w:rsidR="00000000" w:rsidRDefault="002A5A30">
      <w:pPr>
        <w:numPr>
          <w:ilvl w:val="1"/>
          <w:numId w:val="14"/>
        </w:numPr>
        <w:tabs>
          <w:tab w:val="left" w:pos="1414"/>
        </w:tabs>
        <w:rPr>
          <w:lang w:val="pl-PL"/>
        </w:rPr>
      </w:pPr>
      <w:r>
        <w:rPr>
          <w:lang w:val="pl-PL"/>
        </w:rPr>
        <w:t>Proponujemy tak sformułować ten zapis, by dane</w:t>
      </w:r>
      <w:r>
        <w:rPr>
          <w:lang w:val="pl-PL"/>
        </w:rPr>
        <w:t xml:space="preserve"> te można było uzyskać za pomocą </w:t>
      </w:r>
      <w:r>
        <w:rPr>
          <w:b/>
          <w:bCs/>
          <w:lang w:val="pl-PL"/>
        </w:rPr>
        <w:t>interfejsu automatycznego</w:t>
      </w:r>
      <w:r>
        <w:rPr>
          <w:lang w:val="pl-PL"/>
        </w:rPr>
        <w:t xml:space="preserve"> (np. SOAP, XML-RPC), a nie tylko za pomocą interaktywnego formularza wymagającego obecności osoby fizycznej.</w:t>
      </w:r>
    </w:p>
    <w:p w14:paraId="00296AD8" w14:textId="77777777" w:rsidR="00000000" w:rsidRDefault="002A5A30">
      <w:pPr>
        <w:pStyle w:val="ListContents"/>
        <w:pBdr>
          <w:bottom w:val="double" w:sz="28" w:space="2" w:color="000000"/>
        </w:pBdr>
        <w:ind w:left="0"/>
        <w:rPr>
          <w:lang w:val="pl-PL"/>
        </w:rPr>
      </w:pPr>
      <w:r>
        <w:rPr>
          <w:lang w:val="pl-PL"/>
        </w:rPr>
        <w:t xml:space="preserve"> </w:t>
      </w:r>
    </w:p>
    <w:p w14:paraId="4FF48602" w14:textId="77777777" w:rsidR="00000000" w:rsidRDefault="002A5A30">
      <w:pPr>
        <w:pStyle w:val="ListHeading"/>
        <w:rPr>
          <w:shd w:val="clear" w:color="auto" w:fill="FFFF00"/>
          <w:lang w:val="pl-PL"/>
        </w:rPr>
      </w:pPr>
      <w:r>
        <w:rPr>
          <w:shd w:val="clear" w:color="auto" w:fill="FFFF00"/>
          <w:lang w:val="pl-PL"/>
        </w:rPr>
        <w:t>Zmiany do Prawa o ruchu drogowym w art. 80c, 100c - "3b. Potwierdzenie lub zaprzeczeni</w:t>
      </w:r>
      <w:r>
        <w:rPr>
          <w:shd w:val="clear" w:color="auto" w:fill="FFFF00"/>
          <w:lang w:val="pl-PL"/>
        </w:rPr>
        <w:t xml:space="preserve">e, o którym mowa w ust. 3a, może otrzymać osoba, której tożsamość została ustalona" </w:t>
      </w:r>
    </w:p>
    <w:p w14:paraId="72C5D4A4" w14:textId="77777777" w:rsidR="00000000" w:rsidRDefault="002A5A30">
      <w:pPr>
        <w:pStyle w:val="ListContents"/>
        <w:numPr>
          <w:ilvl w:val="1"/>
          <w:numId w:val="14"/>
        </w:numPr>
        <w:tabs>
          <w:tab w:val="left" w:pos="705"/>
        </w:tabs>
        <w:spacing w:after="283"/>
        <w:ind w:left="705"/>
        <w:rPr>
          <w:lang w:val="pl-PL"/>
        </w:rPr>
      </w:pPr>
      <w:r>
        <w:rPr>
          <w:lang w:val="pl-PL"/>
        </w:rPr>
        <w:t>Prosimy o uzasadnienie, dlaczego do ustalenie zgodności danych z dowodu rejestracyjnego samochodu lub prawa jazdy wymaga się uwierzytelnienia. Użytkownik usługi i tak posi</w:t>
      </w:r>
      <w:r>
        <w:rPr>
          <w:lang w:val="pl-PL"/>
        </w:rPr>
        <w:t xml:space="preserve">ada dane, które ma zamiar zweryfikować, zaś udzielana jest wyłącznie odpowiedź o zgodności bądź jej braku. </w:t>
      </w:r>
    </w:p>
    <w:p w14:paraId="2A7B7E9B" w14:textId="77777777" w:rsidR="002A5A30" w:rsidRDefault="002A5A30"/>
    <w:sectPr w:rsidR="002A5A3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1B76" w14:textId="77777777" w:rsidR="002A5A30" w:rsidRDefault="002A5A30">
      <w:r>
        <w:separator/>
      </w:r>
    </w:p>
  </w:endnote>
  <w:endnote w:type="continuationSeparator" w:id="0">
    <w:p w14:paraId="4E1C2D04" w14:textId="77777777" w:rsidR="002A5A30" w:rsidRDefault="002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7738B" w14:textId="77777777" w:rsidR="002A5A30" w:rsidRDefault="002A5A30">
      <w:r>
        <w:separator/>
      </w:r>
    </w:p>
  </w:footnote>
  <w:footnote w:type="continuationSeparator" w:id="0">
    <w:p w14:paraId="741585A2" w14:textId="77777777" w:rsidR="002A5A30" w:rsidRDefault="002A5A30">
      <w:r>
        <w:continuationSeparator/>
      </w:r>
    </w:p>
  </w:footnote>
  <w:footnote w:id="1">
    <w:p w14:paraId="683F35A5" w14:textId="77777777" w:rsidR="00000000" w:rsidRDefault="002A5A30">
      <w:pPr>
        <w:pStyle w:val="FootnoteText"/>
        <w:rPr>
          <w:lang w:val="pl-PL"/>
        </w:rPr>
      </w:pPr>
      <w:r>
        <w:rPr>
          <w:rStyle w:val="FootnoteCharacters"/>
        </w:rPr>
        <w:footnoteRef/>
      </w:r>
      <w:r>
        <w:tab/>
        <w:t xml:space="preserve">Przykłady: niekompatybilność </w:t>
      </w:r>
      <w:r>
        <w:rPr>
          <w:lang w:val="pl-PL"/>
        </w:rPr>
        <w:t>różnych wersji formatów MS Word. Niekompatybilność rozszerzeń formatu PDF wykraczających poza ISO 32000, typowych dl</w:t>
      </w:r>
      <w:r>
        <w:rPr>
          <w:lang w:val="pl-PL"/>
        </w:rPr>
        <w:t>a Adobe Acrobat</w:t>
      </w:r>
      <w:r>
        <w:rPr>
          <w:rFonts w:eastAsia="Times New Roman"/>
          <w:lang w:val="pl-PL"/>
        </w:rPr>
        <w:t>  </w:t>
      </w:r>
      <w:r>
        <w:rPr>
          <w:lang w:val="pl-PL"/>
        </w:rPr>
        <w:t>9 i nowszych. Publikacja tekstu w postaci obrazu (</w:t>
      </w:r>
      <w:r>
        <w:rPr>
          <w:i/>
          <w:iCs/>
          <w:lang w:val="pl-PL"/>
        </w:rPr>
        <w:t>bitmapy</w:t>
      </w:r>
      <w:r>
        <w:rPr>
          <w:lang w:val="pl-PL"/>
        </w:rPr>
        <w:t>) osadzonej w pliku DOC lub PDF, co uniemożliwia przeszukiwanie, indeksowanie i kopiowanie tekstu.</w:t>
      </w:r>
    </w:p>
  </w:footnote>
  <w:footnote w:id="2">
    <w:p w14:paraId="5BF9FC91" w14:textId="77777777" w:rsidR="00000000" w:rsidRDefault="002A5A30">
      <w:pPr>
        <w:pStyle w:val="FootnoteText"/>
        <w:rPr>
          <w:lang w:val="pl-PL"/>
        </w:rPr>
      </w:pPr>
      <w:r>
        <w:rPr>
          <w:rStyle w:val="FootnoteCharacters"/>
        </w:rPr>
        <w:footnoteRef/>
      </w:r>
      <w:r>
        <w:tab/>
        <w:t xml:space="preserve">Przykład: </w:t>
      </w:r>
      <w:r>
        <w:rPr>
          <w:lang w:val="pl-PL"/>
        </w:rPr>
        <w:t>oprogramowanie jednego z polskich centrów certyfikacji generuje plik po</w:t>
      </w:r>
      <w:r>
        <w:rPr>
          <w:lang w:val="pl-PL"/>
        </w:rPr>
        <w:t>dpisany w formacie XAdES z rozszerzeniem SIG, którego nie potrafi odczytać oprogramowanie innego centrum, które w plikach SIG oczekuje formatu CMS.</w:t>
      </w:r>
    </w:p>
  </w:footnote>
  <w:footnote w:id="3">
    <w:p w14:paraId="205B29A9" w14:textId="77777777" w:rsidR="00000000" w:rsidRDefault="002A5A30">
      <w:pPr>
        <w:pStyle w:val="FootnoteText"/>
      </w:pPr>
      <w:r>
        <w:rPr>
          <w:rStyle w:val="FootnoteCharacters"/>
        </w:rPr>
        <w:footnoteRef/>
      </w:r>
      <w:r>
        <w:tab/>
        <w:t xml:space="preserve">OpenID Authentication 2.0 </w:t>
      </w:r>
      <w:hyperlink r:id="rId1" w:history="1">
        <w:r>
          <w:rPr>
            <w:rStyle w:val="Hyperlink"/>
          </w:rPr>
          <w:t>http://openid.net/developers/</w:t>
        </w:r>
        <w:r>
          <w:rPr>
            <w:rStyle w:val="Hyperlink"/>
          </w:rPr>
          <w:t>specs/</w:t>
        </w:r>
      </w:hyperlink>
    </w:p>
  </w:footnote>
  <w:footnote w:id="4">
    <w:p w14:paraId="6459E9D8" w14:textId="77777777" w:rsidR="00000000" w:rsidRDefault="002A5A30">
      <w:pPr>
        <w:pStyle w:val="FootnoteText"/>
      </w:pPr>
      <w:r>
        <w:rPr>
          <w:rStyle w:val="FootnoteCharacters"/>
        </w:rPr>
        <w:footnoteRef/>
      </w:r>
      <w:r>
        <w:tab/>
        <w:t xml:space="preserve">OASIS </w:t>
      </w:r>
      <w:r>
        <w:t>Identity Metasystem Interoperability Version 1.0</w:t>
      </w:r>
      <w:r>
        <w:t xml:space="preserve"> </w:t>
      </w:r>
      <w:hyperlink r:id="rId2" w:history="1">
        <w:r>
          <w:rPr>
            <w:rStyle w:val="Hyperlink"/>
          </w:rPr>
          <w:t>http://docs.oasis-open.org/imi/identity/v1.0/identity.html</w:t>
        </w:r>
      </w:hyperlink>
    </w:p>
  </w:footnote>
  <w:footnote w:id="5">
    <w:p w14:paraId="686CFF2C" w14:textId="77777777" w:rsidR="00000000" w:rsidRDefault="002A5A30">
      <w:pPr>
        <w:pStyle w:val="FootnoteText"/>
      </w:pPr>
      <w:r>
        <w:rPr>
          <w:rStyle w:val="FootnoteCharacters"/>
        </w:rPr>
        <w:footnoteRef/>
      </w:r>
      <w:r>
        <w:tab/>
        <w:t xml:space="preserve">OASIS Security Assertion Markup Language (SAML) v2.0 </w:t>
      </w:r>
      <w:hyperlink r:id="rId3" w:history="1">
        <w:r>
          <w:rPr>
            <w:rStyle w:val="Hyperlink"/>
          </w:rPr>
          <w:t>http://saml.xml.org/saml-specifications</w:t>
        </w:r>
      </w:hyperlink>
    </w:p>
  </w:footnote>
  <w:footnote w:id="6">
    <w:p w14:paraId="388636EB" w14:textId="77777777" w:rsidR="00000000" w:rsidRDefault="002A5A30">
      <w:pPr>
        <w:pStyle w:val="FootnoteText"/>
        <w:rPr>
          <w:lang w:val="pl-PL"/>
        </w:rPr>
      </w:pPr>
      <w:r>
        <w:rPr>
          <w:rStyle w:val="FootnoteCharacters"/>
        </w:rPr>
        <w:footnoteRef/>
      </w:r>
      <w:r>
        <w:rPr>
          <w:lang w:val="pl-PL"/>
        </w:rPr>
        <w:tab/>
        <w:t>Przykładem jest 5% upowszechnienie polskiej faktury elektronicznej opartej o bezpieczny podpis w porównaniu z 60% upowszechnieniem e-faktur w Danii, która nie w</w:t>
      </w:r>
      <w:r>
        <w:rPr>
          <w:lang w:val="pl-PL"/>
        </w:rPr>
        <w:t>ymaga bezpiecznego podpisu. Drugim przykładem jest elektroniczny PIT-37, który – po zniesieniu obowiązku stosowania bezpiecznego podpisu – złożyło blisko 50 tys. podatników, bez szkody dla bezpieczeństwa</w:t>
      </w:r>
      <w:r>
        <w:rPr>
          <w:lang w:val="pl-PL"/>
        </w:rPr>
        <w:t>.</w:t>
      </w:r>
    </w:p>
  </w:footnote>
  <w:footnote w:id="7">
    <w:p w14:paraId="0FF5997C" w14:textId="77777777" w:rsidR="00000000" w:rsidRDefault="002A5A30">
      <w:pPr>
        <w:pStyle w:val="FootnoteText"/>
        <w:rPr>
          <w:lang w:val="pl-PL"/>
        </w:rPr>
      </w:pPr>
      <w:r>
        <w:rPr>
          <w:rStyle w:val="FootnoteCharacters"/>
        </w:rPr>
        <w:footnoteRef/>
      </w:r>
      <w:r>
        <w:rPr>
          <w:lang w:val="pl-PL"/>
        </w:rPr>
        <w:tab/>
        <w:t>Wrażenie takie można odnieść w przypadku Kompleks</w:t>
      </w:r>
      <w:r>
        <w:rPr>
          <w:lang w:val="pl-PL"/>
        </w:rPr>
        <w:t xml:space="preserve">owego Rozproszonego Systemu Bezpieczeństwa (KRSB) ZUS, gdzie dostarczono komputery z zaimplementowaną niskopoziomową, niestandardową kontrolą dostępu, specyficzną tylko dla jednego dostawcy. Firma ta od lat jest jedynym oferentem startującym w przetargach </w:t>
      </w:r>
      <w:r>
        <w:rPr>
          <w:lang w:val="pl-PL"/>
        </w:rPr>
        <w:t>na aktualizacje tych komputerów ponieważ jest jedynym dysponentem tej technologii i jako jedyna może ją serwisować.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A"/>
    <w:rsid w:val="002A5A30"/>
    <w:rsid w:val="00D9513A"/>
    <w:rsid w:val="00F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AF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isoc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ka.sejm.gov.pl/Druki6ka.nsf/wgdruku/211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ml.xml.org/saml-specifications" TargetMode="External"/><Relationship Id="rId2" Type="http://schemas.openxmlformats.org/officeDocument/2006/relationships/hyperlink" Target="http://docs.oasis-open.org/imi/identity/v1.0/identity.html" TargetMode="External"/><Relationship Id="rId1" Type="http://schemas.openxmlformats.org/officeDocument/2006/relationships/hyperlink" Target="http://openid.net/developers/sp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Links>
    <vt:vector size="30" baseType="variant"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http://orka.sejm.gov.pl/Druki6ka.nsf/wgdruku/2110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mailto:zarzad@isoc.org.pl</vt:lpwstr>
      </vt:variant>
      <vt:variant>
        <vt:lpwstr/>
      </vt:variant>
      <vt:variant>
        <vt:i4>7864358</vt:i4>
      </vt:variant>
      <vt:variant>
        <vt:i4>6</vt:i4>
      </vt:variant>
      <vt:variant>
        <vt:i4>0</vt:i4>
      </vt:variant>
      <vt:variant>
        <vt:i4>5</vt:i4>
      </vt:variant>
      <vt:variant>
        <vt:lpwstr>http://saml.xml.org/saml-specifications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http://docs.oasis-open.org/imi/identity/v1.0/identity.html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http://openid.net/developers/specs/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Krawczyk</dc:creator>
  <cp:keywords/>
  <cp:lastModifiedBy>Paweł Krawczyk</cp:lastModifiedBy>
  <cp:revision>2</cp:revision>
  <cp:lastPrinted>1601-01-01T00:00:00Z</cp:lastPrinted>
  <dcterms:created xsi:type="dcterms:W3CDTF">2010-01-28T21:38:00Z</dcterms:created>
  <dcterms:modified xsi:type="dcterms:W3CDTF">2010-01-28T21:38:00Z</dcterms:modified>
</cp:coreProperties>
</file>